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contextualSpacing/>
        <w:jc w:val="center"/>
        <w:rPr>
          <w:b/>
          <w:color w:val="000000"/>
          <w:sz w:val="36"/>
          <w:szCs w:val="36"/>
        </w:rPr>
      </w:pPr>
      <w:bookmarkStart w:id="0" w:name="TITLE_8f53b1d96b6743b7976d0e603daf8f7f"/>
      <w:bookmarkStart w:id="1" w:name="OLE_LINK13"/>
      <w:r>
        <w:rPr>
          <w:rFonts w:hint="eastAsia"/>
          <w:b/>
          <w:color w:val="000000"/>
          <w:sz w:val="36"/>
          <w:szCs w:val="36"/>
        </w:rPr>
        <w:t xml:space="preserve"> </w:t>
      </w: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sz w:val="44"/>
          <w:szCs w:val="44"/>
        </w:rPr>
      </w:pPr>
      <w:bookmarkStart w:id="2" w:name="_Toc139991725"/>
      <w:bookmarkStart w:id="3" w:name="_Toc123112223"/>
      <w:bookmarkStart w:id="4" w:name="_Toc139992300"/>
      <w:bookmarkStart w:id="5" w:name="_Toc123112262"/>
      <w:bookmarkStart w:id="6" w:name="_Toc123701382"/>
      <w:r>
        <w:rPr>
          <w:rFonts w:hint="eastAsia"/>
          <w:b/>
          <w:sz w:val="40"/>
          <w:szCs w:val="44"/>
        </w:rPr>
        <w:t>兴合安元债券型证券投资基金</w:t>
      </w:r>
      <w:bookmarkEnd w:id="2"/>
      <w:bookmarkEnd w:id="3"/>
      <w:bookmarkEnd w:id="4"/>
      <w:bookmarkEnd w:id="5"/>
      <w:bookmarkEnd w:id="6"/>
    </w:p>
    <w:p>
      <w:pPr>
        <w:ind w:firstLine="0"/>
        <w:contextualSpacing/>
        <w:jc w:val="center"/>
        <w:rPr>
          <w:b/>
          <w:sz w:val="40"/>
          <w:szCs w:val="44"/>
        </w:rPr>
      </w:pPr>
      <w:r>
        <w:rPr>
          <w:b/>
          <w:sz w:val="40"/>
          <w:szCs w:val="44"/>
        </w:rPr>
        <w:t>托管协议</w:t>
      </w:r>
    </w:p>
    <w:p>
      <w:pPr>
        <w:ind w:firstLine="0"/>
        <w:contextualSpacing/>
        <w:jc w:val="center"/>
        <w:rPr>
          <w:b/>
          <w:sz w:val="28"/>
        </w:rPr>
      </w:pPr>
      <w:bookmarkStart w:id="7" w:name="_Toc478655886"/>
      <w:bookmarkEnd w:id="7"/>
      <w:bookmarkStart w:id="8" w:name="_Toc478110415"/>
      <w:bookmarkEnd w:id="8"/>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ind w:firstLine="0"/>
        <w:contextualSpacing/>
        <w:jc w:val="center"/>
        <w:rPr>
          <w:b/>
          <w:color w:val="000000"/>
          <w:sz w:val="36"/>
          <w:szCs w:val="36"/>
        </w:rPr>
      </w:pPr>
    </w:p>
    <w:p>
      <w:pPr>
        <w:tabs>
          <w:tab w:val="left" w:pos="1418"/>
        </w:tabs>
        <w:ind w:firstLine="0"/>
        <w:contextualSpacing/>
        <w:jc w:val="center"/>
        <w:rPr>
          <w:b/>
          <w:bCs/>
          <w:sz w:val="28"/>
          <w:szCs w:val="28"/>
        </w:rPr>
      </w:pPr>
      <w:r>
        <w:rPr>
          <w:b/>
          <w:bCs/>
          <w:sz w:val="28"/>
          <w:szCs w:val="28"/>
        </w:rPr>
        <w:t>基金管理人：</w:t>
      </w:r>
      <w:r>
        <w:rPr>
          <w:rFonts w:hint="eastAsia"/>
          <w:b/>
          <w:bCs/>
          <w:sz w:val="28"/>
          <w:szCs w:val="28"/>
        </w:rPr>
        <w:t>兴合基金管理有限公司</w:t>
      </w:r>
    </w:p>
    <w:p>
      <w:pPr>
        <w:tabs>
          <w:tab w:val="left" w:pos="1418"/>
        </w:tabs>
        <w:ind w:firstLine="0"/>
        <w:contextualSpacing/>
        <w:jc w:val="center"/>
        <w:rPr>
          <w:b/>
          <w:bCs/>
          <w:sz w:val="28"/>
          <w:szCs w:val="28"/>
        </w:rPr>
      </w:pPr>
      <w:r>
        <w:drawing>
          <wp:anchor distT="0" distB="0" distL="114300" distR="114300" simplePos="0" relativeHeight="251660288" behindDoc="0" locked="0" layoutInCell="1" allowOverlap="1">
            <wp:simplePos x="0" y="0"/>
            <wp:positionH relativeFrom="column">
              <wp:posOffset>3141345</wp:posOffset>
            </wp:positionH>
            <wp:positionV relativeFrom="paragraph">
              <wp:posOffset>6782435</wp:posOffset>
            </wp:positionV>
            <wp:extent cx="381000" cy="361950"/>
            <wp:effectExtent l="0" t="0" r="0" b="0"/>
            <wp:wrapNone/>
            <wp:docPr id="1" name="图片 2" descr="招商银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招商银行"/>
                    <pic:cNvPicPr>
                      <a:picLocks noChangeAspect="1"/>
                    </pic:cNvPicPr>
                  </pic:nvPicPr>
                  <pic:blipFill>
                    <a:blip r:embed="rId16"/>
                    <a:stretch>
                      <a:fillRect/>
                    </a:stretch>
                  </pic:blipFill>
                  <pic:spPr>
                    <a:xfrm>
                      <a:off x="0" y="0"/>
                      <a:ext cx="381000" cy="361950"/>
                    </a:xfrm>
                    <a:prstGeom prst="rect">
                      <a:avLst/>
                    </a:prstGeom>
                    <a:noFill/>
                    <a:ln>
                      <a:noFill/>
                      <a:miter/>
                    </a:ln>
                  </pic:spPr>
                </pic:pic>
              </a:graphicData>
            </a:graphic>
          </wp:anchor>
        </w:drawing>
      </w:r>
      <w:r>
        <w:drawing>
          <wp:anchor distT="0" distB="0" distL="114300" distR="114300" simplePos="0" relativeHeight="251659264" behindDoc="0" locked="0" layoutInCell="1" allowOverlap="1">
            <wp:simplePos x="0" y="0"/>
            <wp:positionH relativeFrom="column">
              <wp:posOffset>3141345</wp:posOffset>
            </wp:positionH>
            <wp:positionV relativeFrom="paragraph">
              <wp:posOffset>6782435</wp:posOffset>
            </wp:positionV>
            <wp:extent cx="381000" cy="361950"/>
            <wp:effectExtent l="0" t="0" r="0" b="0"/>
            <wp:wrapNone/>
            <wp:docPr id="2" name="图片 1" descr="招商银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招商银行"/>
                    <pic:cNvPicPr>
                      <a:picLocks noChangeAspect="1"/>
                    </pic:cNvPicPr>
                  </pic:nvPicPr>
                  <pic:blipFill>
                    <a:blip r:embed="rId16"/>
                    <a:stretch>
                      <a:fillRect/>
                    </a:stretch>
                  </pic:blipFill>
                  <pic:spPr>
                    <a:xfrm>
                      <a:off x="0" y="0"/>
                      <a:ext cx="381000" cy="361950"/>
                    </a:xfrm>
                    <a:prstGeom prst="rect">
                      <a:avLst/>
                    </a:prstGeom>
                    <a:noFill/>
                    <a:ln>
                      <a:noFill/>
                    </a:ln>
                  </pic:spPr>
                </pic:pic>
              </a:graphicData>
            </a:graphic>
          </wp:anchor>
        </w:drawing>
      </w:r>
      <w:r>
        <w:rPr>
          <w:b/>
          <w:bCs/>
          <w:sz w:val="28"/>
          <w:szCs w:val="28"/>
        </w:rPr>
        <w:t>基金托管人：徽商银行股份有限公司</w:t>
      </w:r>
    </w:p>
    <w:p>
      <w:pPr>
        <w:ind w:firstLine="0"/>
        <w:contextualSpacing/>
        <w:jc w:val="center"/>
        <w:rPr>
          <w:b/>
          <w:color w:val="000000"/>
          <w:sz w:val="36"/>
          <w:szCs w:val="36"/>
        </w:rPr>
      </w:pPr>
    </w:p>
    <w:bookmarkEnd w:id="0"/>
    <w:p>
      <w:pPr>
        <w:ind w:firstLine="0"/>
        <w:contextualSpacing/>
        <w:jc w:val="center"/>
        <w:rPr>
          <w:b/>
          <w:color w:val="000000"/>
          <w:sz w:val="36"/>
          <w:szCs w:val="36"/>
        </w:rPr>
      </w:pPr>
    </w:p>
    <w:p>
      <w:pPr>
        <w:ind w:firstLine="482"/>
        <w:jc w:val="center"/>
        <w:rPr>
          <w:b/>
          <w:sz w:val="24"/>
        </w:rPr>
      </w:pPr>
    </w:p>
    <w:p>
      <w:pPr>
        <w:ind w:firstLine="420"/>
        <w:rPr>
          <w:bCs/>
          <w:szCs w:val="21"/>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1418" w:right="1701" w:bottom="1418" w:left="1701" w:header="851" w:footer="992" w:gutter="0"/>
          <w:cols w:space="425" w:num="1"/>
          <w:docGrid w:linePitch="360" w:charSpace="0"/>
        </w:sectPr>
      </w:pPr>
      <w:bookmarkStart w:id="9" w:name="CTS_c57b3115cd42438aa949c7652d0ce18a"/>
      <w:bookmarkEnd w:id="9"/>
    </w:p>
    <w:p>
      <w:pPr>
        <w:ind w:firstLine="420"/>
        <w:rPr>
          <w:bCs/>
          <w:szCs w:val="21"/>
        </w:rPr>
      </w:pPr>
      <w:bookmarkStart w:id="10" w:name="CLAUSE_51a38fbeec964c0bb5dcda9d1c5e314e"/>
      <w:r>
        <w:t xml:space="preserve"> </w:t>
      </w:r>
      <w:bookmarkStart w:id="11" w:name="CTS_51a38fbeec964c0bb5dcda9d1c5e314e"/>
      <w:bookmarkEnd w:id="11"/>
    </w:p>
    <w:p>
      <w:pPr>
        <w:ind w:firstLine="422"/>
        <w:jc w:val="center"/>
        <w:rPr>
          <w:b/>
          <w:bCs/>
          <w:szCs w:val="21"/>
        </w:rPr>
      </w:pPr>
      <w:r>
        <w:rPr>
          <w:b/>
          <w:bCs/>
          <w:szCs w:val="21"/>
        </w:rPr>
        <w:t>目    录</w:t>
      </w:r>
    </w:p>
    <w:p>
      <w:pPr>
        <w:pStyle w:val="33"/>
        <w:ind w:left="0" w:firstLine="0"/>
        <w:rPr>
          <w:rFonts w:hint="eastAsia" w:asciiTheme="minorHAnsi" w:hAnsiTheme="minorHAnsi" w:eastAsiaTheme="minorEastAsia" w:cstheme="minorBidi"/>
          <w:sz w:val="22"/>
          <w:szCs w:val="22"/>
        </w:rPr>
      </w:pPr>
      <w:r>
        <w:rPr>
          <w:szCs w:val="21"/>
        </w:rPr>
        <w:fldChar w:fldCharType="begin"/>
      </w:r>
      <w:r>
        <w:rPr>
          <w:szCs w:val="21"/>
        </w:rPr>
        <w:instrText xml:space="preserve"> TOC \o "1-2" \h \z </w:instrText>
      </w:r>
      <w:r>
        <w:rPr>
          <w:szCs w:val="21"/>
        </w:rPr>
        <w:fldChar w:fldCharType="separate"/>
      </w:r>
      <w:r>
        <w:fldChar w:fldCharType="begin"/>
      </w:r>
      <w:r>
        <w:instrText xml:space="preserve"> HYPERLINK \l "_Toc126347209" \o "#_Toc126347209" </w:instrText>
      </w:r>
      <w:r>
        <w:fldChar w:fldCharType="separate"/>
      </w:r>
      <w:r>
        <w:rPr>
          <w:rStyle w:val="45"/>
          <w:rFonts w:hint="eastAsia"/>
        </w:rPr>
        <w:t>一、基金托管协议当事人</w:t>
      </w:r>
      <w:r>
        <w:tab/>
      </w:r>
      <w:r>
        <w:fldChar w:fldCharType="begin"/>
      </w:r>
      <w:r>
        <w:instrText xml:space="preserve"> PAGEREF _Toc126347209 \h </w:instrText>
      </w:r>
      <w:r>
        <w:fldChar w:fldCharType="separate"/>
      </w:r>
      <w:r>
        <w:t>4</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"_Toc126347210" \o "#_Toc126347210" </w:instrText>
      </w:r>
      <w:r>
        <w:fldChar w:fldCharType="separate"/>
      </w:r>
      <w:r>
        <w:rPr>
          <w:rStyle w:val="45"/>
          <w:rFonts w:hint="eastAsia"/>
        </w:rPr>
        <w:t>二、基金托管协议的依据、目的和原则</w:t>
      </w:r>
      <w:r>
        <w:tab/>
      </w:r>
      <w:r>
        <w:fldChar w:fldCharType="begin"/>
      </w:r>
      <w:r>
        <w:instrText xml:space="preserve"> PAGEREF _Toc126347210 \h </w:instrText>
      </w:r>
      <w:r>
        <w:fldChar w:fldCharType="separate"/>
      </w:r>
      <w:r>
        <w:t>5</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"_Toc126347211" \o "#_Toc126347211" </w:instrText>
      </w:r>
      <w:r>
        <w:fldChar w:fldCharType="separate"/>
      </w:r>
      <w:r>
        <w:rPr>
          <w:rStyle w:val="45"/>
          <w:rFonts w:hint="eastAsia"/>
        </w:rPr>
        <w:t>三、基金托管人对基金管理人的业务监督和核查</w:t>
      </w:r>
      <w:r>
        <w:tab/>
      </w:r>
      <w:r>
        <w:fldChar w:fldCharType="begin"/>
      </w:r>
      <w:r>
        <w:instrText xml:space="preserve"> PAGEREF _Toc126347211 \h </w:instrText>
      </w:r>
      <w:r>
        <w:fldChar w:fldCharType="separate"/>
      </w:r>
      <w:r>
        <w:t>6</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"_Toc126347212" \o "#_Toc126347212" </w:instrText>
      </w:r>
      <w:r>
        <w:fldChar w:fldCharType="separate"/>
      </w:r>
      <w:r>
        <w:rPr>
          <w:rStyle w:val="45"/>
          <w:rFonts w:hint="eastAsia"/>
        </w:rPr>
        <w:t>四、基金管理人对基金托管人的业务核查</w:t>
      </w:r>
      <w:r>
        <w:tab/>
      </w:r>
      <w:r>
        <w:fldChar w:fldCharType="begin"/>
      </w:r>
      <w:r>
        <w:instrText xml:space="preserve"> PAGEREF _Toc126347212 \h </w:instrText>
      </w:r>
      <w:r>
        <w:fldChar w:fldCharType="separate"/>
      </w:r>
      <w:r>
        <w:t>14</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"_Toc126347213" \o "#_Toc126347213" </w:instrText>
      </w:r>
      <w:r>
        <w:fldChar w:fldCharType="separate"/>
      </w:r>
      <w:r>
        <w:rPr>
          <w:rStyle w:val="45"/>
          <w:rFonts w:hint="eastAsia"/>
        </w:rPr>
        <w:t>五、基金财产的保管</w:t>
      </w:r>
      <w:r>
        <w:tab/>
      </w:r>
      <w:r>
        <w:fldChar w:fldCharType="begin"/>
      </w:r>
      <w:r>
        <w:instrText xml:space="preserve"> PAGEREF _Toc126347213 \h </w:instrText>
      </w:r>
      <w:r>
        <w:fldChar w:fldCharType="separate"/>
      </w:r>
      <w:r>
        <w:t>15</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"_Toc126347214" \o "#_Toc126347214" </w:instrText>
      </w:r>
      <w:r>
        <w:fldChar w:fldCharType="separate"/>
      </w:r>
      <w:r>
        <w:rPr>
          <w:rStyle w:val="45"/>
          <w:rFonts w:hint="eastAsia"/>
        </w:rPr>
        <w:t>六、指令的发送、确认及执行</w:t>
      </w:r>
      <w:r>
        <w:tab/>
      </w:r>
      <w:r>
        <w:fldChar w:fldCharType="begin"/>
      </w:r>
      <w:r>
        <w:instrText xml:space="preserve"> PAGEREF _Toc126347214 \h </w:instrText>
      </w:r>
      <w:r>
        <w:fldChar w:fldCharType="separate"/>
      </w:r>
      <w:r>
        <w:t>18</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"_Toc126347215" \o "#_Toc126347215" </w:instrText>
      </w:r>
      <w:r>
        <w:fldChar w:fldCharType="separate"/>
      </w:r>
      <w:r>
        <w:rPr>
          <w:rStyle w:val="45"/>
          <w:rFonts w:hint="eastAsia"/>
        </w:rPr>
        <w:t>七、交易及清算交收安排</w:t>
      </w:r>
      <w:r>
        <w:tab/>
      </w:r>
      <w:r>
        <w:fldChar w:fldCharType="begin"/>
      </w:r>
      <w:r>
        <w:instrText xml:space="preserve"> PAGEREF _Toc126347215 \h </w:instrText>
      </w:r>
      <w:r>
        <w:fldChar w:fldCharType="separate"/>
      </w:r>
      <w:r>
        <w:t>21</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"_Toc126347216" \o "#_Toc126347216" </w:instrText>
      </w:r>
      <w:r>
        <w:fldChar w:fldCharType="separate"/>
      </w:r>
      <w:r>
        <w:rPr>
          <w:rStyle w:val="45"/>
          <w:rFonts w:hint="eastAsia"/>
        </w:rPr>
        <w:t>八、基金资产净值计算、估值和会计核算</w:t>
      </w:r>
      <w:bookmarkStart w:id="140" w:name="_GoBack"/>
      <w:bookmarkEnd w:id="140"/>
      <w:r>
        <w:tab/>
      </w:r>
      <w:r>
        <w:fldChar w:fldCharType="begin"/>
      </w:r>
      <w:r>
        <w:instrText xml:space="preserve"> PAGEREF _Toc126347216 \h </w:instrText>
      </w:r>
      <w:r>
        <w:fldChar w:fldCharType="separate"/>
      </w:r>
      <w:r>
        <w:t>25</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"_Toc126347217" \o "#_Toc126347217" </w:instrText>
      </w:r>
      <w:r>
        <w:fldChar w:fldCharType="separate"/>
      </w:r>
      <w:r>
        <w:rPr>
          <w:rStyle w:val="45"/>
          <w:rFonts w:hint="eastAsia"/>
        </w:rPr>
        <w:t>九、基金收益分配</w:t>
      </w:r>
      <w:r>
        <w:tab/>
      </w:r>
      <w:r>
        <w:fldChar w:fldCharType="begin"/>
      </w:r>
      <w:r>
        <w:instrText xml:space="preserve"> PAGEREF _Toc126347217 \h </w:instrText>
      </w:r>
      <w:r>
        <w:fldChar w:fldCharType="separate"/>
      </w:r>
      <w:r>
        <w:t>27</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"_Toc126347218" \o "#_Toc126347218" </w:instrText>
      </w:r>
      <w:r>
        <w:fldChar w:fldCharType="separate"/>
      </w:r>
      <w:r>
        <w:rPr>
          <w:rStyle w:val="45"/>
          <w:rFonts w:hint="eastAsia"/>
        </w:rPr>
        <w:t>十、基金信息披露</w:t>
      </w:r>
      <w:r>
        <w:tab/>
      </w:r>
      <w:r>
        <w:fldChar w:fldCharType="begin"/>
      </w:r>
      <w:r>
        <w:instrText xml:space="preserve"> PAGEREF _Toc126347218 \h </w:instrText>
      </w:r>
      <w:r>
        <w:fldChar w:fldCharType="separate"/>
      </w:r>
      <w:r>
        <w:t>28</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"_Toc126347219" \o "#_Toc126347219" </w:instrText>
      </w:r>
      <w:r>
        <w:fldChar w:fldCharType="separate"/>
      </w:r>
      <w:r>
        <w:rPr>
          <w:rStyle w:val="45"/>
          <w:rFonts w:hint="eastAsia"/>
        </w:rPr>
        <w:t>十一、基金费用</w:t>
      </w:r>
      <w:r>
        <w:tab/>
      </w:r>
      <w:r>
        <w:fldChar w:fldCharType="begin"/>
      </w:r>
      <w:r>
        <w:instrText xml:space="preserve"> PAGEREF _Toc126347219 \h </w:instrText>
      </w:r>
      <w:r>
        <w:fldChar w:fldCharType="separate"/>
      </w:r>
      <w:r>
        <w:t>30</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"_Toc126347220" \o "#_Toc126347220" </w:instrText>
      </w:r>
      <w:r>
        <w:fldChar w:fldCharType="separate"/>
      </w:r>
      <w:r>
        <w:rPr>
          <w:rStyle w:val="45"/>
          <w:rFonts w:hint="eastAsia"/>
        </w:rPr>
        <w:t>十二、基金份额持有人名册的保管</w:t>
      </w:r>
      <w:r>
        <w:tab/>
      </w:r>
      <w:r>
        <w:fldChar w:fldCharType="begin"/>
      </w:r>
      <w:r>
        <w:instrText xml:space="preserve"> PAGEREF _Toc126347220 \h </w:instrText>
      </w:r>
      <w:r>
        <w:fldChar w:fldCharType="separate"/>
      </w:r>
      <w:r>
        <w:t>33</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"_Toc126347221" \o "#_Toc126347221" </w:instrText>
      </w:r>
      <w:r>
        <w:fldChar w:fldCharType="separate"/>
      </w:r>
      <w:r>
        <w:rPr>
          <w:rStyle w:val="45"/>
          <w:rFonts w:hint="eastAsia"/>
        </w:rPr>
        <w:t>十三、基金有关文件档案的保存</w:t>
      </w:r>
      <w:r>
        <w:tab/>
      </w:r>
      <w:r>
        <w:fldChar w:fldCharType="begin"/>
      </w:r>
      <w:r>
        <w:instrText xml:space="preserve"> PAGEREF _Toc126347221 \h </w:instrText>
      </w:r>
      <w:r>
        <w:fldChar w:fldCharType="separate"/>
      </w:r>
      <w:r>
        <w:t>34</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"_Toc126347222" \o "#_Toc126347222" </w:instrText>
      </w:r>
      <w:r>
        <w:fldChar w:fldCharType="separate"/>
      </w:r>
      <w:r>
        <w:rPr>
          <w:rStyle w:val="45"/>
          <w:rFonts w:hint="eastAsia"/>
        </w:rPr>
        <w:t>十四、基金管理人和基金托管人的更换</w:t>
      </w:r>
      <w:r>
        <w:tab/>
      </w:r>
      <w:r>
        <w:fldChar w:fldCharType="begin"/>
      </w:r>
      <w:r>
        <w:instrText xml:space="preserve"> PAGEREF _Toc126347222 \h </w:instrText>
      </w:r>
      <w:r>
        <w:fldChar w:fldCharType="separate"/>
      </w:r>
      <w:r>
        <w:t>35</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"_Toc126347223" \o "#_Toc126347223" </w:instrText>
      </w:r>
      <w:r>
        <w:fldChar w:fldCharType="separate"/>
      </w:r>
      <w:r>
        <w:rPr>
          <w:rStyle w:val="45"/>
          <w:rFonts w:hint="eastAsia"/>
        </w:rPr>
        <w:t>十五、禁止行为</w:t>
      </w:r>
      <w:r>
        <w:tab/>
      </w:r>
      <w:r>
        <w:fldChar w:fldCharType="begin"/>
      </w:r>
      <w:r>
        <w:instrText xml:space="preserve"> PAGEREF _Toc126347223 \h </w:instrText>
      </w:r>
      <w:r>
        <w:fldChar w:fldCharType="separate"/>
      </w:r>
      <w:r>
        <w:t>36</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"_Toc126347224" \o "#_Toc126347224" </w:instrText>
      </w:r>
      <w:r>
        <w:fldChar w:fldCharType="separate"/>
      </w:r>
      <w:r>
        <w:rPr>
          <w:rStyle w:val="45"/>
          <w:rFonts w:hint="eastAsia"/>
        </w:rPr>
        <w:t>十六、托管协议的变更、终止与基金财产的清算</w:t>
      </w:r>
      <w:r>
        <w:tab/>
      </w:r>
      <w:r>
        <w:fldChar w:fldCharType="begin"/>
      </w:r>
      <w:r>
        <w:instrText xml:space="preserve"> PAGEREF _Toc126347224 \h </w:instrText>
      </w:r>
      <w:r>
        <w:fldChar w:fldCharType="separate"/>
      </w:r>
      <w:r>
        <w:t>37</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"_Toc126347225" \o "#_Toc126347225" </w:instrText>
      </w:r>
      <w:r>
        <w:fldChar w:fldCharType="separate"/>
      </w:r>
      <w:r>
        <w:rPr>
          <w:rStyle w:val="45"/>
          <w:rFonts w:hint="eastAsia"/>
        </w:rPr>
        <w:t>十七、违约责任</w:t>
      </w:r>
      <w:r>
        <w:tab/>
      </w:r>
      <w:r>
        <w:fldChar w:fldCharType="begin"/>
      </w:r>
      <w:r>
        <w:instrText xml:space="preserve"> PAGEREF _Toc126347225 \h </w:instrText>
      </w:r>
      <w:r>
        <w:fldChar w:fldCharType="separate"/>
      </w:r>
      <w:r>
        <w:t>38</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"_Toc126347226" \o "#_Toc126347226" </w:instrText>
      </w:r>
      <w:r>
        <w:fldChar w:fldCharType="separate"/>
      </w:r>
      <w:r>
        <w:rPr>
          <w:rStyle w:val="45"/>
          <w:rFonts w:hint="eastAsia"/>
        </w:rPr>
        <w:t>十八、争议解决方式</w:t>
      </w:r>
      <w:r>
        <w:tab/>
      </w:r>
      <w:r>
        <w:fldChar w:fldCharType="begin"/>
      </w:r>
      <w:r>
        <w:instrText xml:space="preserve"> PAGEREF _Toc126347226 \h </w:instrText>
      </w:r>
      <w:r>
        <w:fldChar w:fldCharType="separate"/>
      </w:r>
      <w:r>
        <w:t>39</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"_Toc126347227" \o "#_Toc126347227" </w:instrText>
      </w:r>
      <w:r>
        <w:fldChar w:fldCharType="separate"/>
      </w:r>
      <w:r>
        <w:rPr>
          <w:rStyle w:val="45"/>
          <w:rFonts w:hint="eastAsia"/>
        </w:rPr>
        <w:t>十九、托管协议的效力</w:t>
      </w:r>
      <w:r>
        <w:tab/>
      </w:r>
      <w:r>
        <w:fldChar w:fldCharType="begin"/>
      </w:r>
      <w:r>
        <w:instrText xml:space="preserve"> PAGEREF _Toc126347227 \h </w:instrText>
      </w:r>
      <w:r>
        <w:fldChar w:fldCharType="separate"/>
      </w:r>
      <w:r>
        <w:t>40</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"_Toc126347228" \o "#_Toc126347228" </w:instrText>
      </w:r>
      <w:r>
        <w:fldChar w:fldCharType="separate"/>
      </w:r>
      <w:r>
        <w:rPr>
          <w:rStyle w:val="45"/>
          <w:rFonts w:hint="eastAsia"/>
        </w:rPr>
        <w:t>二十、其他事项</w:t>
      </w:r>
      <w:r>
        <w:tab/>
      </w:r>
      <w:r>
        <w:fldChar w:fldCharType="begin"/>
      </w:r>
      <w:r>
        <w:instrText xml:space="preserve"> PAGEREF _Toc126347228 \h </w:instrText>
      </w:r>
      <w:r>
        <w:fldChar w:fldCharType="separate"/>
      </w:r>
      <w:r>
        <w:t>41</w:t>
      </w:r>
      <w:r>
        <w:fldChar w:fldCharType="end"/>
      </w:r>
      <w:r>
        <w:fldChar w:fldCharType="end"/>
      </w:r>
    </w:p>
    <w:p>
      <w:pPr>
        <w:pStyle w:val="33"/>
        <w:ind w:left="0" w:firstLine="0"/>
        <w:rPr>
          <w:rFonts w:hint="eastAsia" w:asciiTheme="minorHAnsi" w:hAnsiTheme="minorHAnsi" w:eastAsiaTheme="minorEastAsia" w:cstheme="minorBidi"/>
          <w:sz w:val="22"/>
          <w:szCs w:val="22"/>
        </w:rPr>
      </w:pPr>
      <w:r>
        <w:fldChar w:fldCharType="begin"/>
      </w:r>
      <w:r>
        <w:instrText xml:space="preserve"> HYPERLINK \l "_Toc126347229" \o "#_Toc126347229" </w:instrText>
      </w:r>
      <w:r>
        <w:fldChar w:fldCharType="separate"/>
      </w:r>
      <w:r>
        <w:rPr>
          <w:rStyle w:val="45"/>
          <w:rFonts w:hint="eastAsia"/>
        </w:rPr>
        <w:t>二十一、托管协议的签订</w:t>
      </w:r>
      <w:r>
        <w:tab/>
      </w:r>
      <w:r>
        <w:fldChar w:fldCharType="begin"/>
      </w:r>
      <w:r>
        <w:instrText xml:space="preserve"> PAGEREF _Toc126347229 \h </w:instrText>
      </w:r>
      <w:r>
        <w:fldChar w:fldCharType="separate"/>
      </w:r>
      <w:r>
        <w:t>42</w:t>
      </w:r>
      <w:r>
        <w:fldChar w:fldCharType="end"/>
      </w:r>
      <w:r>
        <w:fldChar w:fldCharType="end"/>
      </w:r>
    </w:p>
    <w:p>
      <w:pPr>
        <w:ind w:firstLine="0"/>
        <w:rPr>
          <w:szCs w:val="21"/>
        </w:rPr>
      </w:pPr>
      <w:r>
        <w:rPr>
          <w:szCs w:val="21"/>
        </w:rPr>
        <w:fldChar w:fldCharType="end"/>
      </w:r>
    </w:p>
    <w:p>
      <w:pPr>
        <w:ind w:firstLine="420"/>
        <w:rPr>
          <w:szCs w:val="21"/>
        </w:rPr>
      </w:pPr>
      <w:r>
        <w:rPr>
          <w:szCs w:val="21"/>
        </w:rPr>
        <w:br w:type="page"/>
      </w:r>
    </w:p>
    <w:p>
      <w:pPr>
        <w:widowControl/>
        <w:ind w:firstLine="420"/>
        <w:rPr>
          <w:szCs w:val="21"/>
        </w:rPr>
      </w:pPr>
      <w:r>
        <w:rPr>
          <w:szCs w:val="21"/>
        </w:rPr>
        <w:t>鉴于</w:t>
      </w:r>
      <w:r>
        <w:rPr>
          <w:rFonts w:hint="eastAsia"/>
          <w:szCs w:val="21"/>
        </w:rPr>
        <w:t>兴合基金</w:t>
      </w:r>
      <w:r>
        <w:rPr>
          <w:szCs w:val="21"/>
        </w:rPr>
        <w:t>管理有限公司系一家依照中国法律合法成立并有效存续的有限责任公司，按照相关法律法规的规定具备担任基金管理人的资格和能力，拟募集发行</w:t>
      </w:r>
      <w:r>
        <w:rPr>
          <w:rFonts w:hint="eastAsia"/>
          <w:bCs/>
          <w:szCs w:val="21"/>
        </w:rPr>
        <w:t>兴合安元债券型证券投资基金</w:t>
      </w:r>
      <w:r>
        <w:rPr>
          <w:szCs w:val="21"/>
        </w:rPr>
        <w:t>；</w:t>
      </w:r>
    </w:p>
    <w:p>
      <w:pPr>
        <w:ind w:firstLine="420"/>
      </w:pPr>
      <w:r>
        <w:t>鉴于徽商银行股份有限公司系一家依照中国法律合法成立并有效存续的银行，按照相关法律法规的规定具备担任基金托管人的资格和能力；</w:t>
      </w:r>
    </w:p>
    <w:p>
      <w:pPr>
        <w:ind w:firstLine="420"/>
      </w:pPr>
      <w:r>
        <w:t>鉴于</w:t>
      </w:r>
      <w:r>
        <w:rPr>
          <w:rFonts w:hint="eastAsia"/>
        </w:rPr>
        <w:t>兴合基金管理有限公司</w:t>
      </w:r>
      <w:r>
        <w:t>拟担任</w:t>
      </w:r>
      <w:r>
        <w:rPr>
          <w:rFonts w:hint="eastAsia"/>
          <w:bCs/>
        </w:rPr>
        <w:t>兴合安元债券型证券投资基金</w:t>
      </w:r>
      <w:r>
        <w:t>的基金管理人，徽商银行股份有限公司拟担任</w:t>
      </w:r>
      <w:r>
        <w:rPr>
          <w:rFonts w:hint="eastAsia"/>
          <w:bCs/>
        </w:rPr>
        <w:t>兴合安元债券型证券投资基金</w:t>
      </w:r>
      <w:r>
        <w:t>的基金托管人；</w:t>
      </w:r>
    </w:p>
    <w:p>
      <w:pPr>
        <w:ind w:firstLine="420"/>
      </w:pPr>
      <w:r>
        <w:t>为明确</w:t>
      </w:r>
      <w:r>
        <w:rPr>
          <w:rFonts w:hint="eastAsia"/>
          <w:bCs/>
        </w:rPr>
        <w:t>兴合安元债券型证券投资基金</w:t>
      </w:r>
      <w:r>
        <w:t>的基金管理人和基金托管人之间的权利义务关系，特制订本托管协议；</w:t>
      </w:r>
    </w:p>
    <w:p>
      <w:pPr>
        <w:ind w:firstLine="420"/>
        <w:rPr>
          <w:lang w:val="en-GB"/>
        </w:rPr>
      </w:pPr>
      <w:r>
        <w:rPr>
          <w:lang w:val="en-GB"/>
        </w:rPr>
        <w:t>除非另有约定，《</w:t>
      </w:r>
      <w:r>
        <w:rPr>
          <w:rFonts w:hint="eastAsia"/>
          <w:bCs/>
        </w:rPr>
        <w:t>兴合安元债券型证券投资基金</w:t>
      </w:r>
      <w:r>
        <w:rPr>
          <w:lang w:val="en-GB"/>
        </w:rPr>
        <w:t>基金合同》(以下简称“基金合同”)中定义的术语在用于本托管协议时应具有相同的含义，若有抵触应以基金合同为准</w:t>
      </w:r>
      <w:r>
        <w:rPr>
          <w:rFonts w:hint="eastAsia"/>
          <w:lang w:val="en-GB"/>
        </w:rPr>
        <w:t>，并依其条款解释</w:t>
      </w:r>
      <w:r>
        <w:rPr>
          <w:lang w:val="en-GB"/>
        </w:rPr>
        <w:t>。</w:t>
      </w:r>
    </w:p>
    <w:p>
      <w:pPr>
        <w:ind w:firstLine="420"/>
        <w:rPr>
          <w:szCs w:val="21"/>
          <w:lang w:val="en-GB"/>
        </w:rPr>
      </w:pPr>
    </w:p>
    <w:p>
      <w:pPr>
        <w:pStyle w:val="4"/>
        <w:spacing w:before="312" w:after="156" w:line="360" w:lineRule="auto"/>
        <w:ind w:firstLine="422"/>
        <w:jc w:val="center"/>
        <w:rPr>
          <w:rFonts w:ascii="Times New Roman" w:hAnsi="Times New Roman" w:eastAsia="宋体"/>
          <w:sz w:val="21"/>
          <w:szCs w:val="21"/>
        </w:rPr>
      </w:pPr>
      <w:r>
        <w:rPr>
          <w:rFonts w:ascii="Times New Roman" w:hAnsi="Times New Roman" w:eastAsia="宋体"/>
          <w:sz w:val="21"/>
          <w:szCs w:val="21"/>
        </w:rPr>
        <w:br w:type="page"/>
      </w:r>
      <w:bookmarkStart w:id="12" w:name="_Toc348082029"/>
      <w:bookmarkStart w:id="13" w:name="_Toc126347209"/>
      <w:r>
        <w:rPr>
          <w:rFonts w:ascii="Times New Roman" w:hAnsi="Times New Roman" w:eastAsia="宋体"/>
          <w:sz w:val="21"/>
          <w:szCs w:val="21"/>
        </w:rPr>
        <w:t>一、基金托管协议当事人</w:t>
      </w:r>
      <w:bookmarkEnd w:id="12"/>
      <w:bookmarkEnd w:id="13"/>
    </w:p>
    <w:p>
      <w:pPr>
        <w:ind w:firstLine="420"/>
      </w:pPr>
      <w:r>
        <w:t>（一）基金管理人</w:t>
      </w:r>
    </w:p>
    <w:p>
      <w:pPr>
        <w:ind w:firstLine="420"/>
      </w:pPr>
      <w:r>
        <w:rPr>
          <w:rFonts w:hint="eastAsia"/>
        </w:rPr>
        <w:t>名称：兴合基金管理有限公司</w:t>
      </w:r>
    </w:p>
    <w:p>
      <w:pPr>
        <w:ind w:firstLine="420"/>
      </w:pPr>
      <w:r>
        <w:rPr>
          <w:rFonts w:hint="eastAsia"/>
        </w:rPr>
        <w:t xml:space="preserve">注册地址： </w:t>
      </w:r>
      <w:r>
        <w:t xml:space="preserve"> </w:t>
      </w:r>
      <w:r>
        <w:rPr>
          <w:rFonts w:hint="eastAsia"/>
        </w:rPr>
        <w:t>安徽省芜湖市弋江区中山南路717号科技产业园A3栋</w:t>
      </w:r>
    </w:p>
    <w:p>
      <w:pPr>
        <w:ind w:firstLine="420"/>
      </w:pPr>
      <w:r>
        <w:rPr>
          <w:rFonts w:hint="eastAsia"/>
        </w:rPr>
        <w:t>办公地址： 安徽省芜湖市弋江区中山南路717号科技产业园A3栋</w:t>
      </w:r>
    </w:p>
    <w:p>
      <w:pPr>
        <w:ind w:firstLine="420"/>
      </w:pPr>
      <w:r>
        <w:rPr>
          <w:rFonts w:hint="eastAsia"/>
        </w:rPr>
        <w:t>邮政编码：</w:t>
      </w:r>
      <w:r>
        <w:t xml:space="preserve"> 241003</w:t>
      </w:r>
    </w:p>
    <w:p>
      <w:pPr>
        <w:ind w:firstLine="420"/>
      </w:pPr>
      <w:r>
        <w:rPr>
          <w:rFonts w:hint="eastAsia"/>
        </w:rPr>
        <w:t>法定代表人： 程丹倩</w:t>
      </w:r>
    </w:p>
    <w:p>
      <w:pPr>
        <w:ind w:firstLine="420"/>
      </w:pPr>
      <w:r>
        <w:rPr>
          <w:rFonts w:hint="eastAsia"/>
        </w:rPr>
        <w:t>成立日期：</w:t>
      </w:r>
      <w:r>
        <w:t xml:space="preserve"> </w:t>
      </w:r>
      <w:r>
        <w:rPr>
          <w:rFonts w:hint="eastAsia"/>
        </w:rPr>
        <w:t xml:space="preserve"> 2021年08月06日</w:t>
      </w:r>
    </w:p>
    <w:p>
      <w:pPr>
        <w:ind w:firstLine="420"/>
      </w:pPr>
      <w:r>
        <w:rPr>
          <w:rFonts w:hint="eastAsia"/>
        </w:rPr>
        <w:t>批准设立机关及批准设立文号：中国证券监督管理委员会 证监许可</w:t>
      </w:r>
      <w:r>
        <w:t>〔</w:t>
      </w:r>
      <w:r>
        <w:rPr>
          <w:rFonts w:hint="eastAsia"/>
        </w:rPr>
        <w:t>2021</w:t>
      </w:r>
      <w:r>
        <w:t>〕</w:t>
      </w:r>
      <w:r>
        <w:rPr>
          <w:rFonts w:hint="eastAsia"/>
        </w:rPr>
        <w:t>571号</w:t>
      </w:r>
    </w:p>
    <w:p>
      <w:pPr>
        <w:ind w:firstLine="420"/>
      </w:pPr>
      <w:r>
        <w:rPr>
          <w:rFonts w:hint="eastAsia"/>
        </w:rPr>
        <w:t>组织形式： 其他有限责任公司</w:t>
      </w:r>
    </w:p>
    <w:p>
      <w:pPr>
        <w:ind w:firstLine="420"/>
      </w:pPr>
      <w:r>
        <w:rPr>
          <w:rFonts w:hint="eastAsia"/>
        </w:rPr>
        <w:t>注册资本：  1.35亿元人民币</w:t>
      </w:r>
    </w:p>
    <w:p>
      <w:pPr>
        <w:ind w:firstLine="420"/>
      </w:pPr>
      <w:r>
        <w:rPr>
          <w:rFonts w:hint="eastAsia"/>
        </w:rPr>
        <w:t>存续期间： 持续经营</w:t>
      </w:r>
    </w:p>
    <w:p>
      <w:pPr>
        <w:ind w:firstLine="420"/>
      </w:pPr>
      <w:r>
        <w:rPr>
          <w:rFonts w:hint="eastAsia"/>
        </w:rPr>
        <w:t>经营范围：公开募集证券投资基金管理，基金销售，私募资产管理</w:t>
      </w:r>
    </w:p>
    <w:p>
      <w:pPr>
        <w:ind w:firstLine="420"/>
      </w:pPr>
      <w:r>
        <w:t>（二）基金托管人</w:t>
      </w:r>
    </w:p>
    <w:p>
      <w:pPr>
        <w:ind w:firstLine="420"/>
        <w:rPr>
          <w:szCs w:val="21"/>
        </w:rPr>
      </w:pPr>
      <w:r>
        <w:rPr>
          <w:szCs w:val="21"/>
        </w:rPr>
        <w:t>名称：徽商银行股份有限公司</w:t>
      </w:r>
    </w:p>
    <w:p>
      <w:pPr>
        <w:ind w:firstLine="420"/>
        <w:rPr>
          <w:szCs w:val="21"/>
        </w:rPr>
      </w:pPr>
      <w:r>
        <w:rPr>
          <w:szCs w:val="21"/>
        </w:rPr>
        <w:t>住所：</w:t>
      </w:r>
      <w:r>
        <w:rPr>
          <w:rFonts w:hint="eastAsia"/>
          <w:szCs w:val="21"/>
        </w:rPr>
        <w:t>安徽省合肥市云谷路1699号</w:t>
      </w:r>
      <w:r>
        <w:rPr>
          <w:szCs w:val="21"/>
        </w:rPr>
        <w:t>徽银大厦</w:t>
      </w:r>
    </w:p>
    <w:p>
      <w:pPr>
        <w:ind w:firstLine="420"/>
        <w:rPr>
          <w:szCs w:val="21"/>
        </w:rPr>
      </w:pPr>
      <w:r>
        <w:rPr>
          <w:szCs w:val="21"/>
        </w:rPr>
        <w:t>办公地址：</w:t>
      </w:r>
      <w:r>
        <w:rPr>
          <w:rFonts w:hint="eastAsia"/>
          <w:szCs w:val="21"/>
        </w:rPr>
        <w:t>安徽</w:t>
      </w:r>
      <w:r>
        <w:rPr>
          <w:szCs w:val="21"/>
        </w:rPr>
        <w:t>省</w:t>
      </w:r>
      <w:r>
        <w:rPr>
          <w:rFonts w:hint="eastAsia"/>
          <w:szCs w:val="21"/>
        </w:rPr>
        <w:t>合肥市云谷路1699号</w:t>
      </w:r>
      <w:r>
        <w:rPr>
          <w:szCs w:val="21"/>
        </w:rPr>
        <w:t>徽银大厦</w:t>
      </w:r>
    </w:p>
    <w:p>
      <w:pPr>
        <w:ind w:firstLine="420"/>
        <w:rPr>
          <w:szCs w:val="21"/>
        </w:rPr>
      </w:pPr>
      <w:r>
        <w:rPr>
          <w:szCs w:val="21"/>
        </w:rPr>
        <w:t>邮政编码：</w:t>
      </w:r>
      <w:r>
        <w:rPr>
          <w:rFonts w:hint="eastAsia"/>
          <w:szCs w:val="21"/>
        </w:rPr>
        <w:t>23009</w:t>
      </w:r>
      <w:r>
        <w:rPr>
          <w:szCs w:val="21"/>
        </w:rPr>
        <w:t>2</w:t>
      </w:r>
    </w:p>
    <w:p>
      <w:pPr>
        <w:ind w:firstLine="420"/>
        <w:rPr>
          <w:szCs w:val="21"/>
        </w:rPr>
      </w:pPr>
      <w:r>
        <w:rPr>
          <w:szCs w:val="21"/>
        </w:rPr>
        <w:t>成立时间：</w:t>
      </w:r>
      <w:r>
        <w:rPr>
          <w:rFonts w:hint="eastAsia"/>
          <w:szCs w:val="21"/>
        </w:rPr>
        <w:t>1997年4月4日</w:t>
      </w:r>
    </w:p>
    <w:p>
      <w:pPr>
        <w:ind w:firstLine="420"/>
        <w:rPr>
          <w:szCs w:val="21"/>
        </w:rPr>
      </w:pPr>
      <w:r>
        <w:rPr>
          <w:rFonts w:hint="eastAsia"/>
          <w:szCs w:val="21"/>
        </w:rPr>
        <w:t>批准设立机关和批准设立文号：中国人民银行，银复（</w:t>
      </w:r>
      <w:r>
        <w:rPr>
          <w:szCs w:val="21"/>
        </w:rPr>
        <w:t>1997</w:t>
      </w:r>
      <w:r>
        <w:rPr>
          <w:rFonts w:hint="eastAsia"/>
          <w:szCs w:val="21"/>
        </w:rPr>
        <w:t>）</w:t>
      </w:r>
      <w:r>
        <w:rPr>
          <w:szCs w:val="21"/>
        </w:rPr>
        <w:t>70</w:t>
      </w:r>
      <w:r>
        <w:rPr>
          <w:rFonts w:hint="eastAsia"/>
          <w:szCs w:val="21"/>
        </w:rPr>
        <w:t>号</w:t>
      </w:r>
    </w:p>
    <w:p>
      <w:pPr>
        <w:ind w:firstLine="420"/>
        <w:rPr>
          <w:szCs w:val="21"/>
        </w:rPr>
      </w:pPr>
      <w:r>
        <w:rPr>
          <w:szCs w:val="21"/>
        </w:rPr>
        <w:t>基金托管业务批准文号：</w:t>
      </w:r>
      <w:r>
        <w:rPr>
          <w:rFonts w:hint="eastAsia"/>
          <w:szCs w:val="21"/>
        </w:rPr>
        <w:t>证监许可</w:t>
      </w:r>
      <w:r>
        <w:rPr>
          <w:szCs w:val="21"/>
        </w:rPr>
        <w:t>[2014]63号</w:t>
      </w:r>
    </w:p>
    <w:p>
      <w:pPr>
        <w:ind w:firstLine="420"/>
        <w:rPr>
          <w:szCs w:val="21"/>
        </w:rPr>
      </w:pPr>
      <w:r>
        <w:rPr>
          <w:szCs w:val="21"/>
        </w:rPr>
        <w:t>组织形式：</w:t>
      </w:r>
      <w:r>
        <w:rPr>
          <w:rFonts w:hint="eastAsia"/>
          <w:szCs w:val="21"/>
        </w:rPr>
        <w:t>其他</w:t>
      </w:r>
      <w:r>
        <w:rPr>
          <w:szCs w:val="21"/>
        </w:rPr>
        <w:t>股份有限公司（</w:t>
      </w:r>
      <w:r>
        <w:rPr>
          <w:rFonts w:hint="eastAsia"/>
          <w:szCs w:val="21"/>
        </w:rPr>
        <w:t>上市</w:t>
      </w:r>
      <w:r>
        <w:rPr>
          <w:szCs w:val="21"/>
        </w:rPr>
        <w:t>）</w:t>
      </w:r>
    </w:p>
    <w:p>
      <w:pPr>
        <w:ind w:firstLine="420"/>
        <w:rPr>
          <w:szCs w:val="21"/>
        </w:rPr>
      </w:pPr>
      <w:r>
        <w:rPr>
          <w:szCs w:val="21"/>
        </w:rPr>
        <w:t>注册资本：138.89801211</w:t>
      </w:r>
      <w:r>
        <w:rPr>
          <w:rFonts w:hint="eastAsia"/>
          <w:szCs w:val="21"/>
        </w:rPr>
        <w:t>亿元</w:t>
      </w:r>
    </w:p>
    <w:p>
      <w:pPr>
        <w:ind w:firstLine="420"/>
        <w:rPr>
          <w:szCs w:val="21"/>
        </w:rPr>
      </w:pPr>
      <w:r>
        <w:rPr>
          <w:szCs w:val="21"/>
        </w:rPr>
        <w:t>存续期间：</w:t>
      </w:r>
      <w:r>
        <w:rPr>
          <w:rFonts w:hint="eastAsia"/>
          <w:szCs w:val="21"/>
        </w:rPr>
        <w:t>长期</w:t>
      </w:r>
    </w:p>
    <w:p>
      <w:pPr>
        <w:pStyle w:val="4"/>
        <w:spacing w:before="312" w:after="156" w:line="360" w:lineRule="auto"/>
        <w:ind w:firstLine="422"/>
        <w:jc w:val="center"/>
        <w:rPr>
          <w:rFonts w:ascii="Times New Roman" w:hAnsi="Times New Roman" w:eastAsia="宋体"/>
          <w:sz w:val="21"/>
          <w:szCs w:val="21"/>
        </w:rPr>
      </w:pPr>
      <w:r>
        <w:rPr>
          <w:rFonts w:ascii="Times New Roman" w:hAnsi="Times New Roman" w:eastAsia="宋体"/>
          <w:sz w:val="21"/>
          <w:szCs w:val="21"/>
        </w:rPr>
        <w:br w:type="page"/>
      </w:r>
      <w:bookmarkStart w:id="14" w:name="_Toc348082030"/>
      <w:bookmarkStart w:id="15" w:name="_Toc126347210"/>
      <w:r>
        <w:rPr>
          <w:rFonts w:ascii="Times New Roman" w:hAnsi="Times New Roman" w:eastAsia="宋体"/>
          <w:sz w:val="21"/>
          <w:szCs w:val="21"/>
        </w:rPr>
        <w:t>二、基金托管协议的依据、目的和原则</w:t>
      </w:r>
      <w:bookmarkEnd w:id="14"/>
      <w:bookmarkEnd w:id="15"/>
    </w:p>
    <w:p>
      <w:pPr>
        <w:ind w:firstLine="420"/>
      </w:pPr>
      <w:r>
        <w:t>（一）订立托管协议的依据</w:t>
      </w:r>
    </w:p>
    <w:p>
      <w:pPr>
        <w:ind w:firstLine="420"/>
      </w:pPr>
      <w:r>
        <w:t>本协议依据《中华人民共和国证券投资基金法》(以下简称“《基金法》”)、《公开募集证券投资基金运作管理办法》（以下简称“《运作办法》”）、《公开募集开放式证券投资基金流动性风险管理规定》</w:t>
      </w:r>
      <w:r>
        <w:rPr>
          <w:rFonts w:hint="eastAsia"/>
          <w:bCs/>
        </w:rPr>
        <w:t>（以下简称</w:t>
      </w:r>
      <w:r>
        <w:t>“</w:t>
      </w:r>
      <w:r>
        <w:rPr>
          <w:rFonts w:hint="eastAsia"/>
          <w:bCs/>
        </w:rPr>
        <w:t>《流动性风险管理规定》</w:t>
      </w:r>
      <w:r>
        <w:t>”</w:t>
      </w:r>
      <w:r>
        <w:rPr>
          <w:rFonts w:hint="eastAsia"/>
          <w:bCs/>
        </w:rPr>
        <w:t>）</w:t>
      </w:r>
      <w:r>
        <w:rPr>
          <w:rFonts w:hint="eastAsia" w:cs="Arial"/>
        </w:rPr>
        <w:t>、《公开募集证券投资基金信息披露管理办法》（以下简称</w:t>
      </w:r>
      <w:r>
        <w:rPr>
          <w:rFonts w:cs="Arial"/>
        </w:rPr>
        <w:t>“</w:t>
      </w:r>
      <w:r>
        <w:rPr>
          <w:rFonts w:hint="eastAsia" w:cs="Arial"/>
        </w:rPr>
        <w:t>《信息披露办法》</w:t>
      </w:r>
      <w:r>
        <w:rPr>
          <w:rFonts w:cs="Arial"/>
        </w:rPr>
        <w:t>”</w:t>
      </w:r>
      <w:r>
        <w:rPr>
          <w:rFonts w:hint="eastAsia" w:cs="Arial"/>
        </w:rPr>
        <w:t>）</w:t>
      </w:r>
      <w:r>
        <w:t>等有关法律法规、基金合同及其他有关规定制订。</w:t>
      </w:r>
    </w:p>
    <w:p>
      <w:pPr>
        <w:ind w:firstLine="420"/>
      </w:pPr>
      <w:r>
        <w:t>（二）订立托管协议的目的</w:t>
      </w:r>
    </w:p>
    <w:p>
      <w:pPr>
        <w:ind w:firstLine="420"/>
      </w:pPr>
      <w: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pPr>
        <w:ind w:firstLine="420"/>
      </w:pPr>
      <w:r>
        <w:t>（三）订立托管协议的原则</w:t>
      </w:r>
    </w:p>
    <w:p>
      <w:pPr>
        <w:ind w:firstLine="420"/>
      </w:pPr>
      <w:r>
        <w:t>基金管理人和基金托管人本着平等自愿、诚实信用、充分保护基金份额持有人合法权益的原则，经协商一致，签订本协议。</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imes New Roman" w:eastAsia="宋体"/>
          <w:sz w:val="21"/>
          <w:szCs w:val="21"/>
        </w:rPr>
        <w:br w:type="page"/>
      </w:r>
      <w:bookmarkStart w:id="16" w:name="_Toc348082031"/>
      <w:bookmarkStart w:id="17" w:name="_Toc126347211"/>
      <w:r>
        <w:rPr>
          <w:rFonts w:ascii="Times New Roman" w:hAnsi="Times New Roman" w:eastAsia="宋体"/>
          <w:sz w:val="21"/>
          <w:szCs w:val="21"/>
        </w:rPr>
        <w:t>三、基金托管人对基金管理人的业务监督和核查</w:t>
      </w:r>
      <w:bookmarkEnd w:id="16"/>
      <w:bookmarkEnd w:id="17"/>
    </w:p>
    <w:p>
      <w:pPr>
        <w:ind w:firstLine="420"/>
      </w:pPr>
      <w:r>
        <w:t>（一）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pPr>
        <w:ind w:firstLine="420"/>
      </w:pPr>
      <w:r>
        <w:t>1.本基金的投资范围为：</w:t>
      </w:r>
    </w:p>
    <w:p>
      <w:pPr>
        <w:pStyle w:val="2"/>
        <w:ind w:firstLine="420"/>
        <w:rPr>
          <w:sz w:val="21"/>
          <w:szCs w:val="24"/>
        </w:rPr>
      </w:pPr>
      <w:r>
        <w:rPr>
          <w:rFonts w:hint="eastAsia"/>
          <w:sz w:val="21"/>
          <w:szCs w:val="24"/>
        </w:rPr>
        <w:t>本基金的投资范围为具有良好流动性的金融工具，包括国内依法发行或上市的股票（包括主板、创业板和其他经中国证监会核准或注册上市的股票、存托凭证）、港股通标的股票，债券（包括国内依法发行和上市交易的国债、央行票据、金融债券、企业债券、公司债券、中期票据、短期融资券、超短期融资券、次级债券、政府支持机构债券、政府支持债券、地方政府债券、可转换债券（含分离交易可转债）、可交换债券及其他经中国证监会允许投资的债券），国债期货，资产支持证券，货币市场工具，同业存单，债券回购，信用衍生品，银行存款（包括协议存款、定期存款、通知存款和其他银行存款），经中国证监会依法核准或注册的公开募集的ETF（不含货币ETF），基金管理人旗下的股票型基金和计入权益类资产的混合型基金（不含货币市场基金、QDII基金、香港互认基金、基金中基金和可投资其他基金的基金）以及法律法规或中国证监会允许基金投资的其他金融工具。</w:t>
      </w:r>
    </w:p>
    <w:p>
      <w:pPr>
        <w:pStyle w:val="2"/>
        <w:ind w:firstLine="420"/>
      </w:pPr>
      <w:r>
        <w:rPr>
          <w:rFonts w:hint="eastAsia" w:hAnsiTheme="minorEastAsia"/>
          <w:sz w:val="21"/>
          <w:szCs w:val="24"/>
        </w:rPr>
        <w:t>如法律法规或监管机构以后允许基金投资其他品种，基金管理人在履行适当程序后，可以将其纳入投资范围。</w:t>
      </w:r>
    </w:p>
    <w:p>
      <w:pPr>
        <w:ind w:firstLine="420"/>
      </w:pPr>
      <w:r>
        <w:rPr>
          <w:rFonts w:hAnsiTheme="minorEastAsia"/>
        </w:rPr>
        <w:t>2.本基金各类品种的投资比例、投资限制为：</w:t>
      </w:r>
    </w:p>
    <w:p>
      <w:pPr>
        <w:pStyle w:val="2"/>
        <w:ind w:firstLine="420"/>
        <w:rPr>
          <w:sz w:val="21"/>
          <w:szCs w:val="24"/>
        </w:rPr>
      </w:pPr>
      <w:r>
        <w:rPr>
          <w:rFonts w:hint="eastAsia" w:hAnsiTheme="minorEastAsia"/>
          <w:sz w:val="21"/>
          <w:szCs w:val="24"/>
        </w:rPr>
        <w:t>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每个交易日日终在扣除国债期货合约需缴纳的交易保证金后，保持不低于基金资产净值5%的现金或者到期日在一年以内的政府债券，其中现金不包括结算备付金，存出保证金和应收申购款等。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p>
    <w:p>
      <w:pPr>
        <w:pStyle w:val="2"/>
        <w:ind w:firstLine="420"/>
        <w:rPr>
          <w:sz w:val="21"/>
          <w:szCs w:val="24"/>
        </w:rPr>
      </w:pPr>
      <w:r>
        <w:rPr>
          <w:rFonts w:hint="eastAsia" w:hAnsiTheme="minorEastAsia"/>
          <w:sz w:val="21"/>
          <w:szCs w:val="24"/>
        </w:rPr>
        <w:t xml:space="preserve">如果法律法规或监管机构对该比例要求有变更的，在履行适当程序后，以变更后的比例为准。 </w:t>
      </w:r>
    </w:p>
    <w:p>
      <w:pPr>
        <w:ind w:firstLine="420"/>
      </w:pPr>
      <w:r>
        <w:rPr>
          <w:rFonts w:hAnsiTheme="minorEastAsia"/>
        </w:rPr>
        <w:t>基金的投资组合应遵循以下限制：</w:t>
      </w:r>
    </w:p>
    <w:p>
      <w:pPr>
        <w:ind w:firstLine="420"/>
      </w:pPr>
      <w:r>
        <w:rPr>
          <w:rFonts w:hint="eastAsia" w:hAnsiTheme="minorEastAsia"/>
        </w:rPr>
        <w:t xml:space="preserve"> </w:t>
      </w:r>
      <w:r>
        <w:rPr>
          <w:rFonts w:hAnsiTheme="minorEastAsia"/>
        </w:rPr>
        <w:t>（1）</w:t>
      </w:r>
      <w:r>
        <w:rPr>
          <w:rFonts w:hint="eastAsia" w:hAnsiTheme="minorEastAsia"/>
        </w:rPr>
        <w:t>本基金的投资组合比例为：本基金投资于债券资产的比例不低于基金资产的80%；本基金投资于股票、存托凭证、股票型基金、混合型基金等权益类资产及可转换债券（含可分离交易可转债）、可交换债券的比例合计为基金资产的5%-20%，其中，投资于境内股票资产的比例不低于基金资产的5%，投资于港股通标的股票比例不超过股票资产的50%；投资于经中国证监会依法核准或注册的公开募集的基金的比例不超过基金资产净值的10%。其中，计入上述权益类资产的混合型基金为至少满足以下一条标准的混合型基金：1、基金合同约定的股票及存托凭证资产占基金资产的比例不低于60%；2、基金最近 4 期季度报告中披露的股票及存托凭证资产占基金资产的比例均不低于60%。</w:t>
      </w:r>
    </w:p>
    <w:p>
      <w:pPr>
        <w:ind w:firstLine="420"/>
      </w:pPr>
      <w:r>
        <w:rPr>
          <w:rFonts w:hAnsiTheme="minorEastAsia"/>
        </w:rPr>
        <w:t>（2）</w:t>
      </w:r>
      <w:r>
        <w:rPr>
          <w:rFonts w:hint="eastAsia" w:hAnsiTheme="minorEastAsia"/>
        </w:rPr>
        <w:t>本基金每个交易日日终在扣除国债期货合约需缴纳的交易保证金后，保持不低于基金资产净值5%的现金或者到期日在一年以内的政府债券。其中现金不包括结算备付金、存出保证金和应收申购款等。</w:t>
      </w:r>
    </w:p>
    <w:p>
      <w:pPr>
        <w:ind w:firstLine="420"/>
        <w:rPr>
          <w:rFonts w:hint="eastAsia" w:hAnsiTheme="minorEastAsia"/>
        </w:rPr>
      </w:pPr>
      <w:r>
        <w:rPr>
          <w:rFonts w:hint="eastAsia" w:hAnsiTheme="minorEastAsia"/>
        </w:rPr>
        <w:t>（3）本基金持有一家公司发行的证券（同一家公司在境内和香港同时上市的A+H股合并计算，但不包括本基金所投资的基金份额），其市值不超过基金资产净值的10%。</w:t>
      </w:r>
    </w:p>
    <w:p>
      <w:pPr>
        <w:ind w:firstLine="420"/>
        <w:rPr>
          <w:rFonts w:hint="eastAsia" w:hAnsiTheme="minorEastAsia"/>
        </w:rPr>
      </w:pPr>
      <w:r>
        <w:rPr>
          <w:rFonts w:hint="eastAsia" w:hAnsiTheme="minorEastAsia"/>
        </w:rPr>
        <w:t>（4）本基金管理人管理的在托管人处托管的全部基金持有一家公司发行的证券（同一家公司在内地和香港同时上市的A+H股合计计算，但不包括本基金所投资的基金份额），不超过该证券的10%。</w:t>
      </w:r>
    </w:p>
    <w:p>
      <w:pPr>
        <w:ind w:firstLine="420"/>
        <w:rPr>
          <w:rFonts w:hint="eastAsia" w:hAnsiTheme="minorEastAsia"/>
        </w:rPr>
      </w:pPr>
      <w:r>
        <w:rPr>
          <w:rFonts w:hint="eastAsia" w:hAnsiTheme="minorEastAsia"/>
        </w:rPr>
        <w:t>（5）基金在任何交易日日终，持有的买入国债期货合约价值，不得超过基金资产净值的15%；基金在任何交易日日终，持有的卖出国债期货合约价值不得超过基金持有的债券总市值的30%；基金在任何交易日内交易（不包括平仓）的国债期货合约的成交金额不得超过上一交易日基金资产净值的30%。</w:t>
      </w:r>
    </w:p>
    <w:p>
      <w:pPr>
        <w:ind w:firstLine="420"/>
        <w:rPr>
          <w:rFonts w:hint="eastAsia" w:hAnsiTheme="minorEastAsia"/>
        </w:rPr>
      </w:pPr>
      <w:r>
        <w:rPr>
          <w:rFonts w:hint="eastAsia" w:hAnsiTheme="minorEastAsia"/>
        </w:rPr>
        <w:t>（6）本基金投资于同一原始权益人的各类资产支持证券的比例，不得超过基金资产净值的10%。</w:t>
      </w:r>
    </w:p>
    <w:p>
      <w:pPr>
        <w:ind w:firstLine="420"/>
        <w:rPr>
          <w:rFonts w:hint="eastAsia" w:hAnsiTheme="minorEastAsia"/>
        </w:rPr>
      </w:pPr>
      <w:r>
        <w:rPr>
          <w:rFonts w:hint="eastAsia" w:hAnsiTheme="minorEastAsia"/>
        </w:rPr>
        <w:t>（7）本基金持有的全部资产支持证券，其市值不得超过基金资产净值的20%。</w:t>
      </w:r>
    </w:p>
    <w:p>
      <w:pPr>
        <w:ind w:firstLine="420"/>
        <w:rPr>
          <w:rFonts w:hint="eastAsia" w:hAnsiTheme="minorEastAsia"/>
        </w:rPr>
      </w:pPr>
      <w:r>
        <w:rPr>
          <w:rFonts w:hint="eastAsia" w:hAnsiTheme="minorEastAsia"/>
        </w:rPr>
        <w:t>（8）本基金持有的同一（指同一信用级别）资产支持证券的比例，不得超过该资产支持证券规模的10%。</w:t>
      </w:r>
    </w:p>
    <w:p>
      <w:pPr>
        <w:ind w:firstLine="420"/>
        <w:rPr>
          <w:rFonts w:hint="eastAsia" w:hAnsiTheme="minorEastAsia"/>
        </w:rPr>
      </w:pPr>
      <w:r>
        <w:rPr>
          <w:rFonts w:hint="eastAsia" w:hAnsiTheme="minorEastAsia"/>
        </w:rPr>
        <w:t>（9）本基金管理人管理的在托管人处托管的全部基金投资于同一原始权益人的各类资产支持证券，不得超过其各类资产支持证券合计规模的10％；本基金持有资产支持证券期间，如果其信用等级下降、不再符合投资标准，应在评级报告发布之日起3个月内予以全部卖出；</w:t>
      </w:r>
    </w:p>
    <w:p>
      <w:pPr>
        <w:ind w:firstLine="420"/>
        <w:rPr>
          <w:rFonts w:hint="eastAsia" w:hAnsiTheme="minorEastAsia"/>
        </w:rPr>
      </w:pPr>
      <w:r>
        <w:rPr>
          <w:rFonts w:hint="eastAsia" w:hAnsiTheme="minorEastAsia"/>
        </w:rPr>
        <w:t>（10）基金所持有的债券（不含到期日在一年以内的政府债券）市值和买入、卖出国债期货合约价值，合计（轧差计算）应当符合基金合同关于债券投资比例的有关约定。</w:t>
      </w:r>
    </w:p>
    <w:p>
      <w:pPr>
        <w:ind w:firstLine="420"/>
        <w:rPr>
          <w:rFonts w:hint="eastAsia" w:hAnsiTheme="minorEastAsia"/>
        </w:rPr>
      </w:pPr>
      <w:r>
        <w:rPr>
          <w:rFonts w:hint="eastAsia" w:hAnsiTheme="minorEastAsia"/>
        </w:rPr>
        <w:t>（11）本基金管理人管理的在托管人处托管的全部开放式基金持有一家上市公司发行的可流通股票，不得超过该上市公司可流通股票的15%；本基金管理人管理的在托管人处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ind w:firstLine="420"/>
        <w:rPr>
          <w:rFonts w:hint="eastAsia" w:hAnsiTheme="minorEastAsia"/>
        </w:rPr>
      </w:pPr>
      <w:r>
        <w:rPr>
          <w:rFonts w:hint="eastAsia" w:hAnsiTheme="minorEastAsia"/>
        </w:rPr>
        <w:t>（12）本基金主动投资于流动性受限资产（含封闭运作基金、定期开放基金等流通受限基金）的市值合计不得超过该基金资产净值的15%；因证券市场波动、上市公司股票停牌、所投资基金暂停或延期办理赎回申请、基金规模变动等基金管理人之外的因素致使基金不符合该比例限制的，基金管理人不得主动新增流动性受限资产的投资。</w:t>
      </w:r>
    </w:p>
    <w:p>
      <w:pPr>
        <w:ind w:firstLine="420"/>
        <w:rPr>
          <w:rFonts w:hint="eastAsia" w:hAnsiTheme="minorEastAsia"/>
        </w:rPr>
      </w:pPr>
      <w:r>
        <w:rPr>
          <w:rFonts w:hint="eastAsia" w:hAnsiTheme="minorEastAsia"/>
        </w:rPr>
        <w:t>（13）本基金与私募类证券资管产品及中国证监会认定的其他主体为交易对手开展逆回购交易的，可接受质押品的资质要求应当与基金合同约定的投资范围保持一致。</w:t>
      </w:r>
    </w:p>
    <w:p>
      <w:pPr>
        <w:ind w:firstLine="420"/>
        <w:rPr>
          <w:rFonts w:hint="eastAsia" w:hAnsiTheme="minorEastAsia"/>
        </w:rPr>
      </w:pPr>
      <w:r>
        <w:rPr>
          <w:rFonts w:hint="eastAsia" w:hAnsiTheme="minorEastAsia"/>
        </w:rPr>
        <w:t>（14）基金财产参与股票发行申购，本基金所申报的金额不超过本基金的总资产，本基金所申报的股票数量不超过拟发行股票公司本次发行股票的总量。</w:t>
      </w:r>
    </w:p>
    <w:p>
      <w:pPr>
        <w:ind w:firstLine="420"/>
        <w:rPr>
          <w:rFonts w:hint="eastAsia" w:hAnsiTheme="minorEastAsia"/>
        </w:rPr>
      </w:pPr>
      <w:r>
        <w:rPr>
          <w:rFonts w:hint="eastAsia" w:hAnsiTheme="minorEastAsia"/>
        </w:rPr>
        <w:t>（15）本基金参与信用衍生品投资，需遵守下列投资比例限制：本基金不持有具有信用保护卖方属性的信用衍生品，不持有合约类信用衍生品；本基金投资的信用衍生品名义本金不得超过本基金中对应受保护债券面值的100%，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该在三个月内进行调整。</w:t>
      </w:r>
    </w:p>
    <w:p>
      <w:pPr>
        <w:ind w:firstLine="420"/>
        <w:rPr>
          <w:rFonts w:hint="eastAsia" w:hAnsiTheme="minorEastAsia"/>
        </w:rPr>
      </w:pPr>
      <w:r>
        <w:rPr>
          <w:rFonts w:hint="eastAsia" w:hAnsiTheme="minorEastAsia"/>
        </w:rPr>
        <w:t>（16）本基金管理人管理的全部在托管人处托管的基金（ETF联接基金除外）持有单只基金不得超过被投资基金净资产的20%，被投资基金净资产规模以最近定期报告披露的规模为准。</w:t>
      </w:r>
    </w:p>
    <w:p>
      <w:pPr>
        <w:ind w:firstLine="420"/>
        <w:rPr>
          <w:rFonts w:hint="eastAsia" w:hAnsiTheme="minorEastAsia"/>
        </w:rPr>
      </w:pPr>
      <w:r>
        <w:rPr>
          <w:rFonts w:hint="eastAsia" w:hAnsiTheme="minorEastAsia"/>
        </w:rPr>
        <w:t>（17）本基金不得持有具有复杂、衍生品性质的基金份额，包括分级基金和中国证监会认定的其他基金份额；</w:t>
      </w:r>
    </w:p>
    <w:p>
      <w:pPr>
        <w:ind w:firstLine="420"/>
        <w:rPr>
          <w:rFonts w:hint="eastAsia" w:hAnsiTheme="minorEastAsia"/>
        </w:rPr>
      </w:pPr>
      <w:r>
        <w:rPr>
          <w:rFonts w:hint="eastAsia" w:hAnsiTheme="minorEastAsia"/>
        </w:rPr>
        <w:t xml:space="preserve">（18）本基金投资其他基金时，被投资基金的运作期限应当不少于 1 年，最近定期报告披露的基金净资产应当不低于 1 亿元（由管理人进行监管）； </w:t>
      </w:r>
    </w:p>
    <w:p>
      <w:pPr>
        <w:ind w:firstLine="420"/>
        <w:rPr>
          <w:rFonts w:hint="eastAsia" w:hAnsiTheme="minorEastAsia"/>
        </w:rPr>
      </w:pPr>
      <w:r>
        <w:rPr>
          <w:rFonts w:hint="eastAsia" w:hAnsiTheme="minorEastAsia"/>
        </w:rPr>
        <w:t>（19）本基金的基金资产总值不超过基金资产净值的140%。</w:t>
      </w:r>
    </w:p>
    <w:p>
      <w:pPr>
        <w:ind w:firstLine="420"/>
        <w:rPr>
          <w:rFonts w:hint="eastAsia" w:hAnsiTheme="minorEastAsia"/>
        </w:rPr>
      </w:pPr>
      <w:r>
        <w:rPr>
          <w:rFonts w:hint="eastAsia" w:hAnsiTheme="minorEastAsia"/>
        </w:rPr>
        <w:t>（20）法律法规及中国证监会规定的和《基金合同》约定的其他投资限制。</w:t>
      </w:r>
    </w:p>
    <w:p>
      <w:pPr>
        <w:ind w:firstLine="420"/>
        <w:rPr>
          <w:rFonts w:hint="eastAsia" w:hAnsiTheme="minorEastAsia"/>
        </w:rPr>
      </w:pPr>
      <w:r>
        <w:rPr>
          <w:rFonts w:hint="eastAsia" w:hAnsiTheme="minorEastAsia"/>
        </w:rPr>
        <w:t>因证券、期货市场波动、证券发行人合并、基金规模变动等基金管理人之外的因素致使基金投资比例不符合上述（15）项规定投资比例的，基金管理人应在 3 个月内进行调整。</w:t>
      </w:r>
    </w:p>
    <w:p>
      <w:pPr>
        <w:ind w:firstLine="420"/>
        <w:rPr>
          <w:rFonts w:hint="eastAsia" w:hAnsiTheme="minorEastAsia"/>
        </w:rPr>
      </w:pPr>
      <w:r>
        <w:rPr>
          <w:rFonts w:hint="eastAsia" w:hAnsiTheme="minorEastAsia"/>
        </w:rPr>
        <w:t>因证券、期货市场波动、基金规模变动等基金管理人之外的因素致使基金投资不符合上述（16）规定的投资比例的，基金管理人应当在 20 个交易日内进行调整，但中国证监会规定的特殊情形除外。</w:t>
      </w:r>
    </w:p>
    <w:p>
      <w:pPr>
        <w:ind w:firstLine="420"/>
        <w:rPr>
          <w:rFonts w:hint="eastAsia" w:hAnsiTheme="minorEastAsia"/>
        </w:rPr>
      </w:pPr>
      <w:r>
        <w:rPr>
          <w:rFonts w:hint="eastAsia" w:hAnsiTheme="minorEastAsia"/>
        </w:rPr>
        <w:t>除上述（2）、（12）、（13）、（15）、（16）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ind w:firstLine="420"/>
      </w:pPr>
      <w:r>
        <w:rPr>
          <w:rFonts w:hAnsiTheme="minorEastAsia"/>
        </w:rPr>
        <w:t>基金管理人应当自基金合同生效之日起6个月内使基金的投资组合比例符合基金合同的有关约定。在上述期间内，本基金的投资范围、投资策略应当符合基金合同的约定。基金托管人对基金的投资的监督</w:t>
      </w:r>
      <w:r>
        <w:rPr>
          <w:rFonts w:hint="eastAsia" w:hAnsiTheme="minorEastAsia"/>
        </w:rPr>
        <w:t>与</w:t>
      </w:r>
      <w:r>
        <w:rPr>
          <w:rFonts w:hAnsiTheme="minorEastAsia"/>
        </w:rPr>
        <w:t>检查自基金合同生效之日起开始。</w:t>
      </w:r>
      <w:r>
        <w:rPr>
          <w:rFonts w:hint="eastAsia" w:hAnsiTheme="minorEastAsia"/>
        </w:rPr>
        <w:t>法律法规或监管部门另有规定的，从其规定。</w:t>
      </w:r>
    </w:p>
    <w:p>
      <w:pPr>
        <w:ind w:firstLine="420"/>
      </w:pPr>
      <w:r>
        <w:rPr>
          <w:rFonts w:hAnsiTheme="minorEastAsia"/>
        </w:rPr>
        <w:t>法律法规或监管部门取消或变更上述限制，如适用于本基金，基金管理人在履行适当程序后，则本基金投资不再受相关限制或按变更后的规定执行</w:t>
      </w:r>
      <w:r>
        <w:rPr>
          <w:rFonts w:hint="eastAsia" w:hAnsiTheme="minorEastAsia"/>
        </w:rPr>
        <w:t>。</w:t>
      </w:r>
    </w:p>
    <w:p>
      <w:pPr>
        <w:ind w:firstLine="420"/>
      </w:pPr>
      <w:r>
        <w:rPr>
          <w:rFonts w:hAnsiTheme="minorEastAsia"/>
        </w:rPr>
        <w:t>3.本基金财产不得用于以下投资或者活动：</w:t>
      </w:r>
    </w:p>
    <w:p>
      <w:pPr>
        <w:ind w:firstLine="420"/>
      </w:pPr>
      <w:r>
        <w:rPr>
          <w:rFonts w:hint="eastAsia" w:hAnsiTheme="minorEastAsia"/>
        </w:rPr>
        <w:t>（1）承销证券；</w:t>
      </w:r>
    </w:p>
    <w:p>
      <w:pPr>
        <w:ind w:firstLine="420"/>
      </w:pPr>
      <w:r>
        <w:rPr>
          <w:rFonts w:hint="eastAsia" w:hAnsiTheme="minorEastAsia"/>
        </w:rPr>
        <w:t>（2）违反规定向他人贷款或者提供担保；</w:t>
      </w:r>
    </w:p>
    <w:p>
      <w:pPr>
        <w:ind w:firstLine="420"/>
      </w:pPr>
      <w:r>
        <w:rPr>
          <w:rFonts w:hint="eastAsia" w:hAnsiTheme="minorEastAsia"/>
        </w:rPr>
        <w:t>（3）从事承担无限责任的投资；</w:t>
      </w:r>
    </w:p>
    <w:p>
      <w:pPr>
        <w:ind w:firstLine="420"/>
      </w:pPr>
      <w:r>
        <w:rPr>
          <w:rFonts w:hint="eastAsia" w:hAnsiTheme="minorEastAsia"/>
        </w:rPr>
        <w:t>（</w:t>
      </w:r>
      <w:r>
        <w:rPr>
          <w:rFonts w:hAnsiTheme="minorEastAsia"/>
        </w:rPr>
        <w:t>4</w:t>
      </w:r>
      <w:r>
        <w:rPr>
          <w:rFonts w:hint="eastAsia" w:hAnsiTheme="minorEastAsia"/>
        </w:rPr>
        <w:t>）向其基金管理人、基金托管人出资；</w:t>
      </w:r>
    </w:p>
    <w:p>
      <w:pPr>
        <w:ind w:firstLine="420"/>
      </w:pPr>
      <w:r>
        <w:rPr>
          <w:rFonts w:hint="eastAsia" w:hAnsiTheme="minorEastAsia"/>
        </w:rPr>
        <w:t>（5）从事内幕交易、操纵证券交易价格及其他不正当的证券交易活动；</w:t>
      </w:r>
    </w:p>
    <w:p>
      <w:pPr>
        <w:ind w:firstLine="420"/>
      </w:pPr>
      <w:r>
        <w:rPr>
          <w:rFonts w:hint="eastAsia" w:hAnsiTheme="minorEastAsia"/>
        </w:rPr>
        <w:t>（6）法律、行政法规和中国证监会规定禁止的其他活动。</w:t>
      </w:r>
    </w:p>
    <w:p>
      <w:pPr>
        <w:ind w:firstLine="420"/>
      </w:pPr>
      <w:r>
        <w:rPr>
          <w:rFonts w:hint="eastAsia" w:hAnsiTheme="minorEastAsia"/>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pStyle w:val="2"/>
        <w:ind w:firstLine="420"/>
        <w:rPr>
          <w:rFonts w:hint="eastAsia" w:hAnsiTheme="minorEastAsia" w:eastAsiaTheme="minorEastAsia"/>
          <w:sz w:val="21"/>
          <w:szCs w:val="24"/>
        </w:rPr>
      </w:pPr>
      <w:bookmarkStart w:id="18" w:name="_Hlk51598181"/>
      <w:r>
        <w:rPr>
          <w:rFonts w:hint="eastAsia" w:hAnsiTheme="minorEastAsia" w:eastAsiaTheme="minorEastAsia"/>
          <w:sz w:val="21"/>
          <w:szCs w:val="24"/>
        </w:rPr>
        <w:t>本基金投资基金管理人或基金管理人关联方管理基金的情况，不属于前述重大关联交易，但是应当按照法律法规或监管规定的要求履行信息披露义务。</w:t>
      </w:r>
    </w:p>
    <w:p>
      <w:pPr>
        <w:pStyle w:val="2"/>
        <w:ind w:firstLine="420"/>
        <w:rPr>
          <w:rFonts w:hint="eastAsia" w:hAnsiTheme="minorEastAsia" w:eastAsiaTheme="minorEastAsia"/>
          <w:sz w:val="21"/>
          <w:szCs w:val="24"/>
        </w:rPr>
      </w:pPr>
      <w:r>
        <w:rPr>
          <w:rFonts w:hint="eastAsia" w:hAnsiTheme="minorEastAsia" w:eastAsiaTheme="minorEastAsia"/>
          <w:sz w:val="21"/>
          <w:szCs w:val="24"/>
        </w:rPr>
        <w:t>法律法规或监管部门取消或变更上述限制，如适用于本基金，在基金管理人履行适当程序后，则本基金不再受相关限制或以变更后的规定为准，自动遵守届时有效的法律法规或监管规定，该变更无须召开基金份额持有人大会审议。</w:t>
      </w:r>
      <w:bookmarkEnd w:id="18"/>
    </w:p>
    <w:p>
      <w:pPr>
        <w:ind w:firstLine="420"/>
        <w:rPr>
          <w:highlight w:val="yellow"/>
        </w:rPr>
      </w:pPr>
      <w:r>
        <w:rPr>
          <w:rFonts w:hAnsiTheme="minorEastAsia" w:eastAsiaTheme="minorEastAsia"/>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r>
        <w:rPr>
          <w:rFonts w:hint="eastAsia" w:hAnsiTheme="minorEastAsia" w:eastAsiaTheme="minorEastAsia"/>
        </w:rPr>
        <w:t>如基金管理人在基金投资运作之前未向基金托管人提供银行存款名单的，视为基金管理人认可所有银行。</w:t>
      </w:r>
    </w:p>
    <w:p>
      <w:pPr>
        <w:ind w:firstLine="420"/>
      </w:pPr>
      <w:r>
        <w:rPr>
          <w:rFonts w:hAnsiTheme="minorEastAsia" w:eastAsiaTheme="minorEastAsia"/>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ind w:firstLine="420"/>
      </w:pPr>
      <w:r>
        <w:rPr>
          <w:rFonts w:hAnsiTheme="minorEastAsia" w:eastAsiaTheme="minorEastAsia"/>
        </w:rPr>
        <w:t>（1）基金管理人负责控制信用风险。信用风险主要包括存款银行的信用等级、存款银行的支付能力等涉及到存款银行选择方面的风险。因选择存款银行不当造成基金财产损失的，由基金管理人承担责任。</w:t>
      </w:r>
    </w:p>
    <w:p>
      <w:pPr>
        <w:ind w:firstLine="420"/>
      </w:pPr>
      <w:r>
        <w:rPr>
          <w:rFonts w:hAnsiTheme="minorEastAsia" w:eastAsiaTheme="minorEastAsia"/>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ind w:firstLine="420"/>
      </w:pPr>
      <w:r>
        <w:rPr>
          <w:rFonts w:hAnsiTheme="minorEastAsia" w:eastAsiaTheme="minorEastAsia"/>
        </w:rPr>
        <w:t>（3）基金管理人须加强内部风险控制制度的建设。如因基金管理人员工职务行为导致基金财产受到损失的，需由基金管理人承担由此造成的损失。</w:t>
      </w:r>
    </w:p>
    <w:p>
      <w:pPr>
        <w:ind w:firstLine="420"/>
      </w:pPr>
      <w:r>
        <w:rPr>
          <w:rFonts w:hAnsiTheme="minorEastAsia" w:eastAsiaTheme="minorEastAsia"/>
        </w:rPr>
        <w:t>（4）基金管理人与基金托管人在开展基金存款业务时，应严格遵守《基金法》、《运作办法》等有关法律法规，以及国家有关账户管理、利率管理、支付结算等的各项规定。</w:t>
      </w:r>
    </w:p>
    <w:p>
      <w:pPr>
        <w:ind w:firstLine="420"/>
      </w:pPr>
      <w:r>
        <w:rPr>
          <w:rFonts w:hAnsiTheme="minorEastAsia" w:eastAsiaTheme="minorEastAsia"/>
        </w:rPr>
        <w:t>（三）基金投资银行存款协议的签订、账户开设与管理、存款凭证传递、账目核对、到期兑付、提前支取</w:t>
      </w:r>
      <w:r>
        <w:rPr>
          <w:rFonts w:hint="eastAsia" w:hAnsiTheme="minorEastAsia" w:eastAsiaTheme="minorEastAsia"/>
        </w:rPr>
        <w:t>、监督</w:t>
      </w:r>
    </w:p>
    <w:p>
      <w:pPr>
        <w:ind w:firstLine="420"/>
      </w:pPr>
      <w:r>
        <w:rPr>
          <w:rFonts w:hAnsiTheme="minorEastAsia" w:eastAsiaTheme="minorEastAsia"/>
        </w:rPr>
        <w:t>1.基金投资银行存款协议的签订</w:t>
      </w:r>
    </w:p>
    <w:p>
      <w:pPr>
        <w:ind w:firstLine="420"/>
      </w:pPr>
      <w:r>
        <w:rPr>
          <w:rFonts w:hAnsiTheme="minorEastAsia" w:eastAsiaTheme="minorEastAsia"/>
        </w:rPr>
        <w:t>（1）基金管理人应与符合资格的存款银行总行或其授权分行签订《基金存款业务总体合作协议》（以下简称《总体合作协议》），确定《存款</w:t>
      </w:r>
      <w:r>
        <w:rPr>
          <w:rFonts w:hint="eastAsia" w:hAnsiTheme="minorEastAsia" w:eastAsiaTheme="minorEastAsia"/>
        </w:rPr>
        <w:t>合同</w:t>
      </w:r>
      <w:r>
        <w:rPr>
          <w:rFonts w:hAnsiTheme="minorEastAsia" w:eastAsiaTheme="minorEastAsia"/>
        </w:rPr>
        <w:t>》的格式范本。《总体合作协议》和《存款</w:t>
      </w:r>
      <w:r>
        <w:rPr>
          <w:rFonts w:hint="eastAsia" w:hAnsiTheme="minorEastAsia" w:eastAsiaTheme="minorEastAsia"/>
        </w:rPr>
        <w:t>合同</w:t>
      </w:r>
      <w:r>
        <w:rPr>
          <w:rFonts w:hAnsiTheme="minorEastAsia" w:eastAsiaTheme="minorEastAsia"/>
        </w:rPr>
        <w:t>》的格式范本由基金托管人与基金管理人共同商定。</w:t>
      </w:r>
    </w:p>
    <w:p>
      <w:pPr>
        <w:ind w:firstLine="420"/>
      </w:pPr>
      <w:r>
        <w:rPr>
          <w:rFonts w:hAnsiTheme="minorEastAsia" w:eastAsiaTheme="minorEastAsia"/>
        </w:rPr>
        <w:t>（2）基金托管人依据相关法规对《总体合作协议》和《存款</w:t>
      </w:r>
      <w:r>
        <w:rPr>
          <w:rFonts w:hint="eastAsia" w:hAnsiTheme="minorEastAsia" w:eastAsiaTheme="minorEastAsia"/>
        </w:rPr>
        <w:t>合同</w:t>
      </w:r>
      <w:r>
        <w:rPr>
          <w:rFonts w:hAnsiTheme="minorEastAsia" w:eastAsiaTheme="minorEastAsia"/>
        </w:rPr>
        <w:t>》的内容进行复核，审查存款银行资格等。</w:t>
      </w:r>
    </w:p>
    <w:p>
      <w:pPr>
        <w:ind w:firstLine="420"/>
      </w:pPr>
      <w:r>
        <w:rPr>
          <w:rFonts w:hAnsiTheme="minorEastAsia" w:eastAsiaTheme="minorEastAsia"/>
        </w:rPr>
        <w:t>（3）基金管理人应在《存款</w:t>
      </w:r>
      <w:r>
        <w:rPr>
          <w:rFonts w:hint="eastAsia" w:hAnsiTheme="minorEastAsia" w:eastAsiaTheme="minorEastAsia"/>
        </w:rPr>
        <w:t>合同</w:t>
      </w:r>
      <w:r>
        <w:rPr>
          <w:rFonts w:hAnsiTheme="minorEastAsia" w:eastAsiaTheme="minorEastAsia"/>
        </w:rPr>
        <w:t>》中明确存款证实书或其他有效存款凭证的办理方式、邮寄地址、联系人和联系电话，以及存款证实书或其他有效凭证在邮寄过程中遗失后，存款余额的确认及兑付办法等。</w:t>
      </w:r>
    </w:p>
    <w:p>
      <w:pPr>
        <w:ind w:firstLine="420"/>
      </w:pPr>
      <w:r>
        <w:rPr>
          <w:rFonts w:hAnsiTheme="minorEastAsia" w:eastAsiaTheme="minorEastAsia"/>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ind w:firstLine="420"/>
      </w:pPr>
      <w:r>
        <w:rPr>
          <w:rFonts w:hAnsiTheme="minorEastAsia" w:eastAsiaTheme="minorEastAsia"/>
        </w:rPr>
        <w:t>（5）基金管理人应在《存款</w:t>
      </w:r>
      <w:r>
        <w:rPr>
          <w:rFonts w:hint="eastAsia" w:hAnsiTheme="minorEastAsia" w:eastAsiaTheme="minorEastAsia"/>
        </w:rPr>
        <w:t>合同</w:t>
      </w:r>
      <w:r>
        <w:rPr>
          <w:rFonts w:hAnsiTheme="minorEastAsia" w:eastAsiaTheme="minorEastAsia"/>
        </w:rPr>
        <w:t>》中规定，基金存放到期或提前兑付的资金应全部划转到指定的基金托管账户，并在《存款</w:t>
      </w:r>
      <w:r>
        <w:rPr>
          <w:rFonts w:hint="eastAsia" w:hAnsiTheme="minorEastAsia" w:eastAsiaTheme="minorEastAsia"/>
        </w:rPr>
        <w:t>合同</w:t>
      </w:r>
      <w:r>
        <w:rPr>
          <w:rFonts w:hAnsiTheme="minorEastAsia" w:eastAsiaTheme="minorEastAsia"/>
        </w:rPr>
        <w:t>》写明账户名称和账号，未划入指定账户的，由存款银行承担一切责任。</w:t>
      </w:r>
    </w:p>
    <w:p>
      <w:pPr>
        <w:ind w:firstLine="420"/>
      </w:pPr>
      <w:r>
        <w:rPr>
          <w:rFonts w:hAnsiTheme="minorEastAsia" w:eastAsiaTheme="minorEastAsia"/>
        </w:rPr>
        <w:t>（6）基金管理人应在《存款</w:t>
      </w:r>
      <w:r>
        <w:rPr>
          <w:rFonts w:hint="eastAsia" w:hAnsiTheme="minorEastAsia" w:eastAsiaTheme="minorEastAsia"/>
        </w:rPr>
        <w:t>合同</w:t>
      </w:r>
      <w:r>
        <w:rPr>
          <w:rFonts w:hAnsiTheme="minorEastAsia" w:eastAsiaTheme="minorEastAsia"/>
        </w:rPr>
        <w:t>》中规定，在存期内，如本基金银行账户、预留印鉴发生变更，</w:t>
      </w:r>
      <w:r>
        <w:rPr>
          <w:rFonts w:hint="eastAsia" w:hAnsiTheme="minorEastAsia" w:eastAsiaTheme="minorEastAsia"/>
        </w:rPr>
        <w:t>基金</w:t>
      </w:r>
      <w:r>
        <w:rPr>
          <w:rFonts w:hAnsiTheme="minorEastAsia" w:eastAsiaTheme="minorEastAsia"/>
        </w:rPr>
        <w:t>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ind w:firstLine="420"/>
      </w:pPr>
      <w:r>
        <w:rPr>
          <w:rFonts w:hAnsiTheme="minorEastAsia" w:eastAsiaTheme="minorEastAsia"/>
        </w:rPr>
        <w:t>（7）基金管理人应在《存款</w:t>
      </w:r>
      <w:r>
        <w:rPr>
          <w:rFonts w:hint="eastAsia" w:hAnsiTheme="minorEastAsia" w:eastAsiaTheme="minorEastAsia"/>
        </w:rPr>
        <w:t>合同</w:t>
      </w:r>
      <w:r>
        <w:rPr>
          <w:rFonts w:hAnsiTheme="minorEastAsia" w:eastAsiaTheme="minorEastAsia"/>
        </w:rPr>
        <w:t>》中规定，因定期存款产生的存单不得被质押或以任何方式被抵押，不得用于转让和背书。</w:t>
      </w:r>
    </w:p>
    <w:p>
      <w:pPr>
        <w:ind w:firstLine="420"/>
      </w:pPr>
      <w:r>
        <w:rPr>
          <w:rFonts w:hAnsiTheme="minorEastAsia" w:eastAsiaTheme="minorEastAsia"/>
        </w:rPr>
        <w:t>2.基金投资银行存款时的账户开设与管理</w:t>
      </w:r>
    </w:p>
    <w:p>
      <w:pPr>
        <w:ind w:firstLine="420"/>
      </w:pPr>
      <w:r>
        <w:rPr>
          <w:rFonts w:hAnsiTheme="minorEastAsia" w:eastAsiaTheme="minorEastAsia"/>
        </w:rPr>
        <w:t>（1）基金投资于银行存款时，基金管理人应当依据基金管理人与存款银行签订的《总体合作协议》、《存款</w:t>
      </w:r>
      <w:r>
        <w:rPr>
          <w:rFonts w:hint="eastAsia" w:hAnsiTheme="minorEastAsia" w:eastAsiaTheme="minorEastAsia"/>
        </w:rPr>
        <w:t>合同</w:t>
      </w:r>
      <w:r>
        <w:rPr>
          <w:rFonts w:hAnsiTheme="minorEastAsia" w:eastAsiaTheme="minorEastAsia"/>
        </w:rPr>
        <w:t>》等，以基金的名义在存款银行总行或授权分行指定的分支机构开立银行账户。</w:t>
      </w:r>
    </w:p>
    <w:p>
      <w:pPr>
        <w:ind w:firstLine="420"/>
      </w:pPr>
      <w:r>
        <w:rPr>
          <w:rFonts w:hAnsiTheme="minorEastAsia" w:eastAsiaTheme="minorEastAsia"/>
        </w:rPr>
        <w:t>（2）基金投资于银行存款时的预留印鉴由基金托管人保管和使用。</w:t>
      </w:r>
    </w:p>
    <w:p>
      <w:pPr>
        <w:ind w:firstLine="420"/>
      </w:pPr>
      <w:r>
        <w:rPr>
          <w:rFonts w:hAnsiTheme="minorEastAsia" w:eastAsiaTheme="minorEastAsia"/>
        </w:rPr>
        <w:t>3.存款凭证传递、账目核对及到期兑付</w:t>
      </w:r>
    </w:p>
    <w:p>
      <w:pPr>
        <w:ind w:firstLine="420"/>
      </w:pPr>
      <w:r>
        <w:rPr>
          <w:rFonts w:hAnsiTheme="minorEastAsia" w:eastAsiaTheme="minorEastAsia"/>
        </w:rPr>
        <w:t>（1）存款证实书等存款凭证传递</w:t>
      </w:r>
    </w:p>
    <w:p>
      <w:pPr>
        <w:ind w:firstLine="420"/>
      </w:pPr>
      <w:r>
        <w:rPr>
          <w:rFonts w:hAnsiTheme="minorEastAsia" w:eastAsiaTheme="minorEastAsia"/>
        </w:rPr>
        <w:t>存款资金只能存放于存款银行总行或者其授权分行指定的分支机构。基金管理人应在《存款</w:t>
      </w:r>
      <w:r>
        <w:rPr>
          <w:rFonts w:hint="eastAsia" w:hAnsiTheme="minorEastAsia" w:eastAsiaTheme="minorEastAsia"/>
        </w:rPr>
        <w:t>合同</w:t>
      </w:r>
      <w:r>
        <w:rPr>
          <w:rFonts w:hAnsiTheme="minorEastAsia" w:eastAsiaTheme="minorEastAsia"/>
        </w:rPr>
        <w:t>》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ind w:firstLine="420"/>
      </w:pPr>
      <w:r>
        <w:rPr>
          <w:rFonts w:hAnsiTheme="minorEastAsia" w:eastAsiaTheme="minorEastAsia"/>
        </w:rPr>
        <w:t>（2）存款凭证的遗失补办</w:t>
      </w:r>
    </w:p>
    <w:p>
      <w:pPr>
        <w:ind w:firstLine="420"/>
      </w:pPr>
      <w:r>
        <w:rPr>
          <w:rFonts w:hAnsiTheme="minorEastAsia" w:eastAsiaTheme="minorEastAsia"/>
        </w:rPr>
        <w:t>存款凭证在邮寄过程中遗失的，由基金管理人向存款银行提出补办申请，基金管理人应督促存款银行尽快补办存款凭证，并按以上（1）的方式快递或上门交付至托管人，原存款凭证自动作废。</w:t>
      </w:r>
    </w:p>
    <w:p>
      <w:pPr>
        <w:ind w:firstLine="420"/>
      </w:pPr>
      <w:r>
        <w:rPr>
          <w:rFonts w:hAnsiTheme="minorEastAsia" w:eastAsiaTheme="minorEastAsia"/>
        </w:rPr>
        <w:t>（3）账目核对</w:t>
      </w:r>
    </w:p>
    <w:p>
      <w:pPr>
        <w:ind w:firstLine="420"/>
      </w:pPr>
      <w:r>
        <w:rPr>
          <w:rFonts w:hAnsiTheme="minorEastAsia" w:eastAsiaTheme="minorEastAsia"/>
        </w:rPr>
        <w:t>每个工作日，基金管理人应与基金托管人核对各项银行存款投资余额及应计利息。</w:t>
      </w:r>
    </w:p>
    <w:p>
      <w:pPr>
        <w:ind w:firstLine="420"/>
      </w:pPr>
      <w:r>
        <w:rPr>
          <w:rFonts w:hAnsiTheme="minorEastAsia" w:eastAsiaTheme="minorEastAsia"/>
        </w:rPr>
        <w:t>基金管理人应在《存款</w:t>
      </w:r>
      <w:r>
        <w:rPr>
          <w:rFonts w:hint="eastAsia" w:hAnsiTheme="minorEastAsia" w:eastAsiaTheme="minorEastAsia"/>
        </w:rPr>
        <w:t>合同</w:t>
      </w:r>
      <w:r>
        <w:rPr>
          <w:rFonts w:hAnsiTheme="minorEastAsia" w:eastAsiaTheme="minorEastAsia"/>
        </w:rPr>
        <w:t>》中规定，对于存期超过3个月的定期存款，存款银行应于每季末后5个工作日内向基金托管人指定人员寄送对账单。因存款银行未寄送对账单造成的资金被挪用、盗取的责任由存款银行承担。</w:t>
      </w:r>
    </w:p>
    <w:p>
      <w:pPr>
        <w:ind w:firstLine="420"/>
      </w:pPr>
      <w:r>
        <w:rPr>
          <w:rFonts w:hAnsiTheme="minorEastAsia" w:eastAsiaTheme="minorEastAsia"/>
        </w:rPr>
        <w:t>存款银行应配合基金托管人对存款凭证的询证，并在询证函上加盖存款银行公章寄送至基金托管人指定联系人。</w:t>
      </w:r>
    </w:p>
    <w:p>
      <w:pPr>
        <w:ind w:firstLine="420"/>
      </w:pPr>
      <w:r>
        <w:rPr>
          <w:rFonts w:hAnsiTheme="minorEastAsia" w:eastAsiaTheme="minorEastAsia"/>
        </w:rPr>
        <w:t>（4）到期兑付</w:t>
      </w:r>
    </w:p>
    <w:p>
      <w:pPr>
        <w:ind w:firstLine="420"/>
      </w:pPr>
      <w:r>
        <w:rPr>
          <w:rFonts w:hAnsiTheme="minorEastAsia" w:eastAsiaTheme="minorEastAsia"/>
        </w:rPr>
        <w:t>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w:t>
      </w:r>
    </w:p>
    <w:p>
      <w:pPr>
        <w:ind w:firstLine="420"/>
      </w:pPr>
      <w:r>
        <w:rPr>
          <w:rFonts w:hAnsiTheme="minorEastAsia" w:eastAsiaTheme="minorEastAsia"/>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ind w:firstLine="420"/>
      </w:pPr>
      <w:r>
        <w:rPr>
          <w:rFonts w:hAnsiTheme="minorEastAsia" w:eastAsiaTheme="minorEastAsia"/>
        </w:rPr>
        <w:t>基金管理人应在《存款</w:t>
      </w:r>
      <w:r>
        <w:rPr>
          <w:rFonts w:hint="eastAsia" w:hAnsiTheme="minorEastAsia" w:eastAsiaTheme="minorEastAsia"/>
        </w:rPr>
        <w:t>合同</w:t>
      </w:r>
      <w:r>
        <w:rPr>
          <w:rFonts w:hAnsiTheme="minorEastAsia" w:eastAsiaTheme="minorEastAsia"/>
        </w:rPr>
        <w:t>》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w:t>
      </w:r>
      <w:r>
        <w:rPr>
          <w:rFonts w:hint="eastAsia" w:hAnsiTheme="minorEastAsia" w:eastAsiaTheme="minorEastAsia"/>
        </w:rPr>
        <w:t>《存款合同》</w:t>
      </w:r>
      <w:r>
        <w:rPr>
          <w:rFonts w:hAnsiTheme="minorEastAsia" w:eastAsiaTheme="minorEastAsia"/>
        </w:rPr>
        <w:t>约定利率和实际延期天数支付延期利息。</w:t>
      </w:r>
    </w:p>
    <w:p>
      <w:pPr>
        <w:ind w:firstLine="420"/>
      </w:pPr>
      <w:r>
        <w:rPr>
          <w:rFonts w:hAnsiTheme="minorEastAsia" w:eastAsiaTheme="minorEastAsia"/>
        </w:rPr>
        <w:t>4.提前支取</w:t>
      </w:r>
    </w:p>
    <w:p>
      <w:pPr>
        <w:ind w:firstLine="420"/>
      </w:pPr>
      <w:r>
        <w:rPr>
          <w:rFonts w:hAnsiTheme="minorEastAsia" w:eastAsiaTheme="minorEastAsia"/>
        </w:rPr>
        <w:t>如果在存款期限内，由于基金规模发生缩减的原因或者出于流动性管理的需要等原因，基金管理人可以提前支取全部或部分资金。</w:t>
      </w:r>
    </w:p>
    <w:p>
      <w:pPr>
        <w:ind w:firstLine="420"/>
      </w:pPr>
      <w:r>
        <w:rPr>
          <w:rFonts w:hAnsiTheme="minorEastAsia" w:eastAsiaTheme="minorEastAsia"/>
        </w:rPr>
        <w:t>提前支取的具体事项按照基金管理人与存款银行签订的《存款</w:t>
      </w:r>
      <w:r>
        <w:rPr>
          <w:rFonts w:hint="eastAsia" w:hAnsiTheme="minorEastAsia" w:eastAsiaTheme="minorEastAsia"/>
        </w:rPr>
        <w:t>合同</w:t>
      </w:r>
      <w:r>
        <w:rPr>
          <w:rFonts w:hAnsiTheme="minorEastAsia" w:eastAsiaTheme="minorEastAsia"/>
        </w:rPr>
        <w:t>》执行。</w:t>
      </w:r>
    </w:p>
    <w:p>
      <w:pPr>
        <w:ind w:firstLine="420"/>
      </w:pPr>
      <w:r>
        <w:rPr>
          <w:rFonts w:hAnsiTheme="minorEastAsia" w:eastAsiaTheme="minorEastAsia"/>
        </w:rPr>
        <w:t>5.基金投资银行存款的监督</w:t>
      </w:r>
    </w:p>
    <w:p>
      <w:pPr>
        <w:ind w:firstLine="420"/>
      </w:pPr>
      <w:r>
        <w:rPr>
          <w:rFonts w:hAnsiTheme="minorEastAsia" w:eastAsiaTheme="minorEastAsia"/>
        </w:rPr>
        <w:t>基金托管人发现基金管理人在进行存款投资时有违反有关法律法规的规定及《基金合同》的约定的行为，应及时以书面形式通知基金管理人在</w:t>
      </w:r>
      <w:r>
        <w:rPr>
          <w:rFonts w:hint="eastAsia" w:hAnsiTheme="minorEastAsia" w:eastAsiaTheme="minorEastAsia"/>
        </w:rPr>
        <w:t>限期</w:t>
      </w:r>
      <w:r>
        <w:rPr>
          <w:rFonts w:hAnsiTheme="minorEastAsia" w:eastAsiaTheme="minorEastAsia"/>
        </w:rPr>
        <w:t>内纠正。基金管理人对基金托管人通知的违规事项未能在</w:t>
      </w:r>
      <w:r>
        <w:rPr>
          <w:rFonts w:hint="eastAsia" w:hAnsiTheme="minorEastAsia" w:eastAsiaTheme="minorEastAsia"/>
        </w:rPr>
        <w:t>限期</w:t>
      </w:r>
      <w:r>
        <w:rPr>
          <w:rFonts w:hAnsiTheme="minorEastAsia" w:eastAsiaTheme="minorEastAsia"/>
        </w:rPr>
        <w:t>内纠正的，基金托管人应报告中国证监会。基金托管人发现基金管理人有重大违规行为，应立即报告中国证监会，同时通知基金管理人在</w:t>
      </w:r>
      <w:r>
        <w:rPr>
          <w:rFonts w:hint="eastAsia" w:hAnsiTheme="minorEastAsia" w:eastAsiaTheme="minorEastAsia"/>
        </w:rPr>
        <w:t>限期</w:t>
      </w:r>
      <w:r>
        <w:rPr>
          <w:rFonts w:hAnsiTheme="minorEastAsia" w:eastAsiaTheme="minorEastAsia"/>
        </w:rPr>
        <w:t>内纠正或拒绝结算，若因基金管理人拒不执行造成基金财产损失的，相关损失由基金管理人承担，基金托管人不承担</w:t>
      </w:r>
      <w:r>
        <w:rPr>
          <w:rFonts w:hint="eastAsia" w:hAnsiTheme="minorEastAsia" w:eastAsiaTheme="minorEastAsia"/>
        </w:rPr>
        <w:t>相应</w:t>
      </w:r>
      <w:r>
        <w:rPr>
          <w:rFonts w:hAnsiTheme="minorEastAsia" w:eastAsiaTheme="minorEastAsia"/>
        </w:rPr>
        <w:t>责任。</w:t>
      </w:r>
    </w:p>
    <w:p>
      <w:pPr>
        <w:ind w:firstLine="420"/>
      </w:pPr>
      <w:r>
        <w:rPr>
          <w:rFonts w:hAnsiTheme="minorEastAsia" w:eastAsiaTheme="minorEastAsia"/>
        </w:rPr>
        <w:t>（四）基金托管人根据有关法律法规的规定及《基金合同》的约定，对基金管理人参与银行间债券市场进行监督。基金管理人应在基金</w:t>
      </w:r>
      <w:r>
        <w:rPr>
          <w:rFonts w:hint="eastAsia" w:hAnsiTheme="minorEastAsia" w:eastAsiaTheme="minorEastAsia"/>
        </w:rPr>
        <w:t>首次参与银行间债券市场</w:t>
      </w:r>
      <w:r>
        <w:rPr>
          <w:rFonts w:hAnsiTheme="minorEastAsia" w:eastAsiaTheme="minorEastAsia"/>
        </w:rPr>
        <w:t>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w:t>
      </w:r>
      <w:r>
        <w:rPr>
          <w:rFonts w:hint="eastAsia" w:hAnsiTheme="minorEastAsia" w:eastAsiaTheme="minorEastAsia"/>
        </w:rPr>
        <w:t>如基金管理人在基金投资运作之前未向基金托管人提供</w:t>
      </w:r>
      <w:r>
        <w:rPr>
          <w:rFonts w:hAnsiTheme="minorEastAsia" w:eastAsiaTheme="minorEastAsia"/>
        </w:rPr>
        <w:t>银行间债券市场</w:t>
      </w:r>
      <w:r>
        <w:rPr>
          <w:rFonts w:hint="eastAsia" w:hAnsiTheme="minorEastAsia" w:eastAsiaTheme="minorEastAsia"/>
        </w:rPr>
        <w:t>交易对手名单的，视为基金管理人认可全市场交易对手。</w:t>
      </w:r>
      <w:r>
        <w:rPr>
          <w:rFonts w:hAnsiTheme="minorEastAsia" w:eastAsiaTheme="minorEastAsia"/>
        </w:rPr>
        <w:t>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ind w:firstLine="420"/>
      </w:pPr>
      <w:r>
        <w:rPr>
          <w:rFonts w:hAnsiTheme="minorEastAsia" w:eastAsiaTheme="minorEastAsia"/>
        </w:rPr>
        <w:t>基金管理人负责对交易对手的资信控制，按银行间债券市场的交易规则进行交易，并负责</w:t>
      </w:r>
      <w:r>
        <w:rPr>
          <w:rFonts w:hint="eastAsia" w:hAnsiTheme="minorEastAsia" w:eastAsiaTheme="minorEastAsia"/>
        </w:rPr>
        <w:t>处理</w:t>
      </w:r>
      <w:r>
        <w:rPr>
          <w:rFonts w:hAnsiTheme="minorEastAsia" w:eastAsiaTheme="minorEastAsia"/>
        </w:rPr>
        <w:t>因交易对手不履行合同而造成的纠纷及损失。基金托管人则根据银行间债券市场成交单对合同履行情况进行监督。如基金托管人事后发现基金管理人没有按照事先约定的交易对手进行交易时，基金托管人应及时提醒基金管理人，基金托管人不承担由此造成的</w:t>
      </w:r>
      <w:r>
        <w:rPr>
          <w:rFonts w:hint="eastAsia" w:hAnsiTheme="minorEastAsia" w:eastAsiaTheme="minorEastAsia"/>
        </w:rPr>
        <w:t>相应</w:t>
      </w:r>
      <w:r>
        <w:rPr>
          <w:rFonts w:hAnsiTheme="minorEastAsia" w:eastAsiaTheme="minorEastAsia"/>
        </w:rPr>
        <w:t>损失和责任。</w:t>
      </w:r>
    </w:p>
    <w:p>
      <w:pPr>
        <w:ind w:firstLine="420"/>
      </w:pPr>
      <w:r>
        <w:rPr>
          <w:rFonts w:hAnsiTheme="minorEastAsia" w:eastAsiaTheme="minorEastAsia"/>
        </w:rPr>
        <w:t>（五）基金托管人根据有关法律法规的规定及《基金合同》的约定，对基金资产净值计算、基金份额净值计算、</w:t>
      </w:r>
      <w:r>
        <w:rPr>
          <w:rFonts w:hint="eastAsia" w:hAnsiTheme="minorEastAsia" w:eastAsiaTheme="minorEastAsia"/>
        </w:rPr>
        <w:t>应收资金到账、</w:t>
      </w:r>
      <w:r>
        <w:rPr>
          <w:rFonts w:hAnsiTheme="minorEastAsia" w:eastAsiaTheme="minorEastAsia"/>
        </w:rPr>
        <w:t>基金费用开支及收入确定、基金收益分配、相关信息披露、基金宣传推介材料中登载基金业绩表现数据等进行监督和核查。</w:t>
      </w:r>
    </w:p>
    <w:p>
      <w:pPr>
        <w:ind w:firstLine="420"/>
      </w:pPr>
      <w:r>
        <w:rPr>
          <w:rFonts w:hAnsiTheme="minorEastAsia" w:eastAsiaTheme="minorEastAsia"/>
        </w:rPr>
        <w:t>（</w:t>
      </w:r>
      <w:r>
        <w:rPr>
          <w:rFonts w:hint="eastAsia" w:hAnsiTheme="minorEastAsia" w:eastAsiaTheme="minorEastAsia"/>
        </w:rPr>
        <w:t>六</w:t>
      </w:r>
      <w:r>
        <w:rPr>
          <w:rFonts w:hAnsiTheme="minorEastAsia" w:eastAsiaTheme="minorEastAsia"/>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w:t>
      </w:r>
      <w:r>
        <w:rPr>
          <w:rFonts w:hint="eastAsia" w:hAnsiTheme="minorEastAsia" w:eastAsiaTheme="minorEastAsia"/>
        </w:rPr>
        <w:t>合理</w:t>
      </w:r>
      <w:r>
        <w:rPr>
          <w:rFonts w:hAnsiTheme="minorEastAsia" w:eastAsiaTheme="minorEastAsia"/>
        </w:rPr>
        <w:t>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ind w:firstLine="420"/>
      </w:pPr>
      <w:r>
        <w:rPr>
          <w:rFonts w:hAnsiTheme="minorEastAsia" w:eastAsiaTheme="minorEastAsia"/>
        </w:rPr>
        <w:t>（</w:t>
      </w:r>
      <w:r>
        <w:rPr>
          <w:rFonts w:hint="eastAsia" w:hAnsiTheme="minorEastAsia" w:eastAsiaTheme="minorEastAsia"/>
        </w:rPr>
        <w:t>七</w:t>
      </w:r>
      <w:r>
        <w:rPr>
          <w:rFonts w:hAnsiTheme="minorEastAsia" w:eastAsiaTheme="minorEastAsia"/>
        </w:rPr>
        <w:t>）基金管理人有义务配合和协助基金托管人依照法律法规、《基金合同》和本托管协议对基金业务执行核查。包括但不限于：对基金托管人发出的提示，基金管理人应在规定时间内答复并改正，或就基金托管人的</w:t>
      </w:r>
      <w:r>
        <w:rPr>
          <w:rFonts w:hint="eastAsia" w:hAnsiTheme="minorEastAsia" w:eastAsiaTheme="minorEastAsia"/>
        </w:rPr>
        <w:t>合理</w:t>
      </w:r>
      <w:r>
        <w:rPr>
          <w:rFonts w:hAnsiTheme="minorEastAsia" w:eastAsiaTheme="minorEastAsia"/>
        </w:rPr>
        <w:t>疑义进行解释或举证；对基金托管人按照法律法规、基金合同和本托管协议的要求需向中国证监会报送基金监督报告的事项，基金管理人应积极配合提供相关数据资料和制度等。</w:t>
      </w:r>
    </w:p>
    <w:p>
      <w:pPr>
        <w:ind w:firstLine="420"/>
      </w:pPr>
      <w:r>
        <w:rPr>
          <w:rFonts w:hAnsiTheme="minorEastAsia" w:eastAsiaTheme="minorEastAsia"/>
        </w:rPr>
        <w:t>（</w:t>
      </w:r>
      <w:r>
        <w:rPr>
          <w:rFonts w:hint="eastAsia" w:hAnsiTheme="minorEastAsia" w:eastAsiaTheme="minorEastAsia"/>
        </w:rPr>
        <w:t>八</w:t>
      </w:r>
      <w:r>
        <w:rPr>
          <w:rFonts w:hAnsiTheme="minorEastAsia" w:eastAsiaTheme="minorEastAsia"/>
        </w:rPr>
        <w:t>）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pPr>
        <w:ind w:firstLine="420"/>
      </w:pPr>
      <w:r>
        <w:rPr>
          <w:rFonts w:hAnsiTheme="minorEastAsia" w:eastAsiaTheme="minorEastAsia"/>
        </w:rPr>
        <w:t>（</w:t>
      </w:r>
      <w:r>
        <w:rPr>
          <w:rFonts w:hint="eastAsia" w:hAnsiTheme="minorEastAsia" w:eastAsiaTheme="minorEastAsia"/>
        </w:rPr>
        <w:t>九</w:t>
      </w:r>
      <w:r>
        <w:rPr>
          <w:rFonts w:hAnsiTheme="minorEastAsia" w:eastAsiaTheme="minorEastAsia"/>
        </w:rPr>
        <w:t>）基金托管人发现基金管理人有重大违规行为，应及时报告中国证监会，同时通知基金管理人限期纠正。</w:t>
      </w:r>
    </w:p>
    <w:p>
      <w:pPr>
        <w:ind w:firstLine="420"/>
      </w:pPr>
      <w:r>
        <w:rPr>
          <w:rFonts w:hint="eastAsia" w:hAnsiTheme="minorEastAsia" w:eastAsiaTheme="minorEastAsia"/>
        </w:rPr>
        <w:t>（十）基金托管人应当依照法律法规和基金合同约定，加强对侧袋机制启用、特定资产处置和信息披露等方面的复核和监督。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bookmarkStart w:id="19" w:name="_Toc108512358"/>
      <w:bookmarkStart w:id="20" w:name="_Toc86649722"/>
      <w:bookmarkStart w:id="21" w:name="_Toc110761796"/>
      <w:bookmarkStart w:id="22" w:name="_Toc110830492"/>
      <w:bookmarkStart w:id="23" w:name="_Toc86737929"/>
      <w:bookmarkStart w:id="24" w:name="_Toc118972648"/>
      <w:bookmarkStart w:id="25" w:name="_Toc118774803"/>
      <w:bookmarkStart w:id="26" w:name="_Toc86727355"/>
      <w:bookmarkStart w:id="27" w:name="_Toc89163368"/>
      <w:bookmarkStart w:id="28" w:name="_Toc119402710"/>
      <w:bookmarkStart w:id="29" w:name="_Toc86223242"/>
      <w:bookmarkStart w:id="30" w:name="_Toc86225291"/>
      <w:bookmarkStart w:id="31" w:name="_Toc86726439"/>
      <w:bookmarkStart w:id="32" w:name="_Toc110765660"/>
      <w:bookmarkStart w:id="33" w:name="_Toc118212950"/>
      <w:bookmarkStart w:id="34" w:name="_Toc120435783"/>
      <w:bookmarkStart w:id="35" w:name="_Toc348082032"/>
      <w:r>
        <w:rPr>
          <w:rFonts w:hint="eastAsia" w:hAnsiTheme="minorEastAsia" w:eastAsiaTheme="minorEastAsia"/>
        </w:rPr>
        <w:t>，无需召开基金份额持有人大会审议。</w:t>
      </w:r>
    </w:p>
    <w:p>
      <w:pPr>
        <w:ind w:firstLine="420"/>
      </w:pPr>
      <w:r>
        <w:rPr>
          <w:rFonts w:hint="eastAsia" w:hAnsiTheme="minorEastAsia" w:eastAsiaTheme="minorEastAsia"/>
        </w:rPr>
        <w:t>侧袋机制实施期间，本部分约定的投资组合比例、组合限制等约定仅适用于主袋账户。</w:t>
      </w:r>
    </w:p>
    <w:p>
      <w:pPr>
        <w:ind w:firstLine="420"/>
      </w:pPr>
      <w:r>
        <w:rPr>
          <w:rFonts w:hint="eastAsia" w:hAnsiTheme="minorEastAsia" w:eastAsiaTheme="minorEastAsia"/>
        </w:rPr>
        <w:t>侧袋机制的具体规则依照相关法律法规的规定以及基金合同和招募说明书的约定执行。</w:t>
      </w:r>
    </w:p>
    <w:p>
      <w:pPr>
        <w:ind w:firstLine="420"/>
      </w:pPr>
    </w:p>
    <w:p>
      <w:pPr>
        <w:ind w:firstLine="420"/>
        <w:sectPr>
          <w:headerReference r:id="rId11" w:type="default"/>
          <w:footerReference r:id="rId12" w:type="default"/>
          <w:pgSz w:w="11906" w:h="16838"/>
          <w:pgMar w:top="1418" w:right="1701" w:bottom="1418" w:left="1701" w:header="851" w:footer="992" w:gutter="0"/>
          <w:cols w:space="425" w:num="1"/>
          <w:docGrid w:linePitch="360" w:charSpace="0"/>
        </w:sectPr>
      </w:pPr>
    </w:p>
    <w:p>
      <w:pPr>
        <w:pStyle w:val="4"/>
        <w:spacing w:before="312" w:after="156" w:line="360" w:lineRule="auto"/>
        <w:ind w:firstLine="422"/>
        <w:jc w:val="center"/>
        <w:rPr>
          <w:rFonts w:ascii="Times New Roman" w:hAnsi="Times New Roman" w:eastAsia="宋体"/>
          <w:sz w:val="21"/>
          <w:szCs w:val="21"/>
        </w:rPr>
      </w:pPr>
      <w:bookmarkStart w:id="36" w:name="_Toc126347212"/>
      <w:r>
        <w:rPr>
          <w:rFonts w:hint="eastAsia" w:ascii="Times New Roman" w:hAnsiTheme="minorEastAsia" w:eastAsiaTheme="minorEastAsia"/>
          <w:sz w:val="21"/>
          <w:szCs w:val="21"/>
        </w:rPr>
        <w:t>四</w:t>
      </w:r>
      <w:r>
        <w:rPr>
          <w:rFonts w:ascii="Times New Roman" w:hAnsiTheme="minorEastAsia" w:eastAsiaTheme="minorEastAsia"/>
          <w:sz w:val="21"/>
          <w:szCs w:val="21"/>
        </w:rPr>
        <w:t>、基金管理人对基金托管人的业务核查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ind w:firstLine="420"/>
      </w:pPr>
      <w:r>
        <w:rPr>
          <w:rFonts w:hAnsiTheme="minorEastAsia" w:eastAsiaTheme="minorEastAsia"/>
        </w:rPr>
        <w:t>（一）基金管理人对基金托管人履行托管职责情况进行核查，核查事项包括</w:t>
      </w:r>
      <w:r>
        <w:rPr>
          <w:rFonts w:hint="eastAsia" w:hAnsiTheme="minorEastAsia" w:eastAsiaTheme="minorEastAsia"/>
        </w:rPr>
        <w:t>但不限于</w:t>
      </w:r>
      <w:r>
        <w:rPr>
          <w:rFonts w:hAnsiTheme="minorEastAsia" w:eastAsiaTheme="minorEastAsia"/>
        </w:rPr>
        <w:t>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pPr>
        <w:ind w:firstLine="420"/>
      </w:pPr>
      <w:r>
        <w:rPr>
          <w:rFonts w:hAnsiTheme="minorEastAsia" w:eastAsiaTheme="minorEastAsia"/>
        </w:rPr>
        <w:t>（二）基金管理人发现基金托管人擅自挪用基金财产、未对基金财产实行分账管理、未执行或无故延迟执行基金管理人资金划拨指令、泄露基金投资信息等违反《基金法》、基金合同、托管协议及其他有关规定时，应及时以</w:t>
      </w:r>
      <w:r>
        <w:rPr>
          <w:rFonts w:hint="eastAsia" w:hAnsiTheme="minorEastAsia" w:eastAsiaTheme="minorEastAsia"/>
        </w:rPr>
        <w:t>电话、邮件或</w:t>
      </w:r>
      <w:r>
        <w:rPr>
          <w:rFonts w:hAnsiTheme="minorEastAsia" w:eastAsiaTheme="minorEastAsia"/>
        </w:rPr>
        <w:t>书面形式</w:t>
      </w:r>
      <w:r>
        <w:rPr>
          <w:rFonts w:hint="eastAsia" w:hAnsiTheme="minorEastAsia" w:eastAsiaTheme="minorEastAsia"/>
        </w:rPr>
        <w:t>等方式</w:t>
      </w:r>
      <w:r>
        <w:rPr>
          <w:rFonts w:hAnsiTheme="minorEastAsia" w:eastAsiaTheme="minorEastAsia"/>
        </w:rPr>
        <w:t>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ind w:firstLine="420"/>
      </w:pPr>
      <w:r>
        <w:rPr>
          <w:rFonts w:hAnsiTheme="minorEastAsia" w:eastAsiaTheme="minorEastAsia"/>
        </w:rPr>
        <w:t>（三）基金托管人有义务配合和协助基金管理人依照法律法规、基金合同和本托管协议对基金业务执行核查，包括但不限于：对基金管理人发出的提示，基金托管人应在规定时间内答复并改正，或就基金管理人的疑义进行解释或举证；基金托管人应积极配合提供相关资料以供基金管理人核查托管财产的完整性和真实性。</w:t>
      </w:r>
    </w:p>
    <w:p>
      <w:pPr>
        <w:ind w:firstLine="420"/>
      </w:pPr>
      <w:r>
        <w:rPr>
          <w:rFonts w:hAnsiTheme="minorEastAsia" w:eastAsiaTheme="minorEastAsia"/>
        </w:rPr>
        <w:t>（四）基金管理人发现基金托管人有重大违规行为，应及时报告中国证监会，同时通知基金托管人限期纠正，并将纠正结果报告中国证监会。</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bookmarkStart w:id="37" w:name="_Toc86204789"/>
      <w:bookmarkStart w:id="38" w:name="_Toc89163369"/>
      <w:bookmarkStart w:id="39" w:name="_Toc119402711"/>
      <w:bookmarkStart w:id="40" w:name="_Toc86726440"/>
      <w:bookmarkStart w:id="41" w:name="_Toc108512359"/>
      <w:bookmarkStart w:id="42" w:name="_Toc120435784"/>
      <w:bookmarkStart w:id="43" w:name="_Toc86225292"/>
      <w:bookmarkStart w:id="44" w:name="_Toc110765661"/>
      <w:bookmarkStart w:id="45" w:name="_Toc86223243"/>
      <w:bookmarkStart w:id="46" w:name="_Toc110761797"/>
      <w:bookmarkStart w:id="47" w:name="_Toc118212951"/>
      <w:bookmarkStart w:id="48" w:name="_Toc118972649"/>
      <w:bookmarkStart w:id="49" w:name="_Toc84133786"/>
      <w:bookmarkStart w:id="50" w:name="_Toc86727356"/>
      <w:bookmarkStart w:id="51" w:name="_Toc84234388"/>
      <w:bookmarkStart w:id="52" w:name="_Toc86737930"/>
      <w:bookmarkStart w:id="53" w:name="_Toc86649723"/>
      <w:bookmarkStart w:id="54" w:name="_Toc84234435"/>
      <w:bookmarkStart w:id="55" w:name="_Toc110830493"/>
      <w:bookmarkStart w:id="56" w:name="_Toc118774804"/>
      <w:r>
        <w:rPr>
          <w:rFonts w:ascii="Times New Roman" w:hAnsiTheme="minorEastAsia" w:eastAsiaTheme="minorEastAsia"/>
          <w:sz w:val="21"/>
          <w:szCs w:val="21"/>
        </w:rPr>
        <w:br w:type="page"/>
      </w:r>
      <w:bookmarkStart w:id="57" w:name="_Toc126347213"/>
      <w:bookmarkStart w:id="58" w:name="_Toc348082033"/>
      <w:r>
        <w:rPr>
          <w:rFonts w:ascii="Times New Roman" w:hAnsiTheme="minorEastAsia" w:eastAsiaTheme="minorEastAsia"/>
          <w:sz w:val="21"/>
          <w:szCs w:val="21"/>
        </w:rPr>
        <w:t>五、基金财产的保管</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ind w:firstLine="420"/>
      </w:pPr>
      <w:r>
        <w:rPr>
          <w:rFonts w:hAnsiTheme="minorEastAsia" w:eastAsiaTheme="minorEastAsia"/>
        </w:rPr>
        <w:t>（一）基金财产保管的原则</w:t>
      </w:r>
    </w:p>
    <w:p>
      <w:pPr>
        <w:ind w:firstLine="420"/>
      </w:pPr>
      <w:r>
        <w:rPr>
          <w:rFonts w:hAnsiTheme="minorEastAsia" w:eastAsiaTheme="minorEastAsia"/>
        </w:rPr>
        <w:t>1.基金财产应独立于基金管理人、基金托管人</w:t>
      </w:r>
      <w:r>
        <w:rPr>
          <w:rFonts w:hint="eastAsia" w:hAnsiTheme="minorEastAsia" w:eastAsiaTheme="minorEastAsia"/>
        </w:rPr>
        <w:t>、证券/期货经纪机构</w:t>
      </w:r>
      <w:r>
        <w:rPr>
          <w:rFonts w:hAnsiTheme="minorEastAsia" w:eastAsiaTheme="minorEastAsia"/>
        </w:rPr>
        <w:t>的固有财产。</w:t>
      </w:r>
    </w:p>
    <w:p>
      <w:pPr>
        <w:ind w:firstLine="420"/>
      </w:pPr>
      <w:r>
        <w:rPr>
          <w:rFonts w:hAnsiTheme="minorEastAsia" w:eastAsiaTheme="minorEastAsia"/>
        </w:rPr>
        <w:t>2.基金托管人应安全保管基金财产。</w:t>
      </w:r>
    </w:p>
    <w:p>
      <w:pPr>
        <w:ind w:firstLine="420"/>
      </w:pPr>
      <w:r>
        <w:rPr>
          <w:rFonts w:hAnsiTheme="minorEastAsia" w:eastAsiaTheme="minorEastAsia"/>
        </w:rPr>
        <w:t>3.基金托管人按照规定开设基金财产投资所需的相关账户。</w:t>
      </w:r>
    </w:p>
    <w:p>
      <w:pPr>
        <w:ind w:firstLine="420"/>
      </w:pPr>
      <w:r>
        <w:rPr>
          <w:rFonts w:hAnsiTheme="minorEastAsia" w:eastAsiaTheme="minorEastAsia"/>
        </w:rPr>
        <w:t>4.基金托管人对所托管的不同基金财产分别设置账户，</w:t>
      </w:r>
      <w:r>
        <w:rPr>
          <w:rFonts w:hint="eastAsia" w:hAnsiTheme="minorEastAsia" w:eastAsiaTheme="minorEastAsia"/>
        </w:rPr>
        <w:t>分账管理，独立核算，</w:t>
      </w:r>
      <w:r>
        <w:rPr>
          <w:rFonts w:hAnsiTheme="minorEastAsia" w:eastAsiaTheme="minorEastAsia"/>
        </w:rPr>
        <w:t>确保基金财产的完整与独立。</w:t>
      </w:r>
    </w:p>
    <w:p>
      <w:pPr>
        <w:ind w:firstLine="420"/>
      </w:pPr>
      <w:r>
        <w:rPr>
          <w:rFonts w:hAnsiTheme="minorEastAsia" w:eastAsiaTheme="minorEastAsia"/>
        </w:rPr>
        <w:t>5.基金托管人根据基金管理人的指令，按照基金合同和本协议的约定保管基金财产。未经基金管理人的正当指令，不得自行运用、处分、分配基金的任何资产。</w:t>
      </w:r>
      <w:r>
        <w:rPr>
          <w:rFonts w:hint="eastAsia" w:hAnsiTheme="minorEastAsia" w:eastAsiaTheme="minorEastAsia"/>
        </w:rPr>
        <w:t>如果基金财产在基金托管人保管期间损坏、灭失的，应由基金托管人承担赔偿责任。</w:t>
      </w:r>
      <w:r>
        <w:rPr>
          <w:rFonts w:hAnsiTheme="minorEastAsia" w:eastAsiaTheme="minorEastAsia"/>
        </w:rPr>
        <w:t>不属于基金托管人实际有效控制下的资产及实物证券等的损坏、灭失，基金托管人不承担由此产生的责任。</w:t>
      </w:r>
    </w:p>
    <w:p>
      <w:pPr>
        <w:ind w:firstLine="420"/>
      </w:pPr>
      <w:r>
        <w:rPr>
          <w:rFonts w:hAnsiTheme="minorEastAsia" w:eastAsiaTheme="minorEastAsia"/>
        </w:rPr>
        <w:t>6.对于因为基金投资产生的应收资产，应由基金管理人负责与有关当事人确定到账日期并通知基金托管人，到账日基金财产没有到达基金资金账户的，基金托管人应及时通知基金管理人采取措施进行催收，</w:t>
      </w:r>
      <w:r>
        <w:rPr>
          <w:rFonts w:hint="eastAsia" w:hAnsiTheme="minorEastAsia" w:eastAsiaTheme="minorEastAsia"/>
        </w:rPr>
        <w:t>由此给基金财产造成损失的，</w:t>
      </w:r>
      <w:r>
        <w:rPr>
          <w:rFonts w:hAnsiTheme="minorEastAsia" w:eastAsiaTheme="minorEastAsia"/>
        </w:rPr>
        <w:t>基金管理人应负责向有关当事人追偿基金财产的损失</w:t>
      </w:r>
      <w:r>
        <w:rPr>
          <w:rFonts w:hint="eastAsia" w:hAnsiTheme="minorEastAsia" w:eastAsiaTheme="minorEastAsia"/>
        </w:rPr>
        <w:t>，基金托管人应予以必要的协助与配合</w:t>
      </w:r>
      <w:r>
        <w:rPr>
          <w:rFonts w:hAnsiTheme="minorEastAsia" w:eastAsiaTheme="minorEastAsia"/>
        </w:rPr>
        <w:t>。</w:t>
      </w:r>
    </w:p>
    <w:p>
      <w:pPr>
        <w:ind w:firstLine="420"/>
      </w:pPr>
      <w:r>
        <w:rPr>
          <w:rFonts w:hAnsiTheme="minorEastAsia" w:eastAsiaTheme="minorEastAsia"/>
        </w:rPr>
        <w:t>7.基金托管人对因为基金管理人投资产生的存放或存管在基金托管人以外机构的基金资产，或交由证券</w:t>
      </w:r>
      <w:r>
        <w:rPr>
          <w:rFonts w:hint="eastAsia" w:hAnsiTheme="minorEastAsia" w:eastAsiaTheme="minorEastAsia"/>
        </w:rPr>
        <w:t>/期货</w:t>
      </w:r>
      <w:r>
        <w:rPr>
          <w:rFonts w:hAnsiTheme="minorEastAsia" w:eastAsiaTheme="minorEastAsia"/>
        </w:rPr>
        <w:t>公司负责清算交收的基金资产及其收益，由于该等机构或该机构会员单位等本协议当事人外第三方的欺诈、疏忽、过失或破产等原因给基金资产造成的损失等不承担责任。</w:t>
      </w:r>
    </w:p>
    <w:p>
      <w:pPr>
        <w:ind w:firstLine="420"/>
      </w:pPr>
      <w:r>
        <w:rPr>
          <w:rFonts w:hAnsiTheme="minorEastAsia" w:eastAsiaTheme="minorEastAsia"/>
        </w:rPr>
        <w:t>8.除依据法律法规和基金合同的规定外，基金托管人不得委托第三人托管基金财产。</w:t>
      </w:r>
    </w:p>
    <w:p>
      <w:pPr>
        <w:ind w:firstLine="420"/>
      </w:pPr>
      <w:r>
        <w:rPr>
          <w:rFonts w:hAnsiTheme="minorEastAsia" w:eastAsiaTheme="minorEastAsia"/>
        </w:rPr>
        <w:t>（二）基金募集期间及募集资金的验资</w:t>
      </w:r>
    </w:p>
    <w:p>
      <w:pPr>
        <w:ind w:firstLine="420"/>
      </w:pPr>
      <w:r>
        <w:rPr>
          <w:rFonts w:hAnsiTheme="minorEastAsia" w:eastAsiaTheme="minorEastAsia"/>
        </w:rPr>
        <w:t>1.基金募集期间募集的资金应开立“基金募集专户”。该账户由基金管理人开立并管理。</w:t>
      </w:r>
    </w:p>
    <w:p>
      <w:pPr>
        <w:ind w:firstLine="420"/>
      </w:pPr>
      <w:r>
        <w:rPr>
          <w:rFonts w:hAnsiTheme="minorEastAsia" w:eastAsiaTheme="minorEastAsia"/>
        </w:rPr>
        <w:t>2.基金募集期满或基金</w:t>
      </w:r>
      <w:r>
        <w:rPr>
          <w:rFonts w:hint="eastAsia" w:hAnsiTheme="minorEastAsia" w:eastAsiaTheme="minorEastAsia"/>
        </w:rPr>
        <w:t>提前结束</w:t>
      </w:r>
      <w:r>
        <w:rPr>
          <w:rFonts w:hAnsiTheme="minorEastAsia" w:eastAsiaTheme="minorEastAsia"/>
        </w:rPr>
        <w:t>募集时，</w:t>
      </w:r>
      <w:r>
        <w:rPr>
          <w:rFonts w:hint="eastAsia" w:hAnsiTheme="minorEastAsia" w:eastAsiaTheme="minorEastAsia"/>
        </w:rPr>
        <w:t>募集的基金份额总额、基金募集金额、基金份额持有人人数</w:t>
      </w:r>
      <w:r>
        <w:rPr>
          <w:rFonts w:hAnsiTheme="minorEastAsia" w:eastAsiaTheme="minorEastAsia"/>
        </w:rPr>
        <w:t>符合《基金法》、《运作办法》等有关规定后，基金管理人应将属于基金财产的全部资金划入基金托管人为基金开立的基金资金账户，同时在规定时间内，基金管理人应聘请</w:t>
      </w:r>
      <w:r>
        <w:rPr>
          <w:rFonts w:hint="eastAsia" w:hAnsiTheme="minorEastAsia" w:eastAsiaTheme="minorEastAsia"/>
        </w:rPr>
        <w:t>符合《中华人民共和国证券法》规定的</w:t>
      </w:r>
      <w:r>
        <w:rPr>
          <w:rFonts w:hAnsiTheme="minorEastAsia" w:eastAsiaTheme="minorEastAsia"/>
        </w:rPr>
        <w:t>会计师事务所进行验资，出具验资报告。出具的验资报告由参加验资的2名或2名以上中国注册会计师签字方为有效。</w:t>
      </w:r>
    </w:p>
    <w:p>
      <w:pPr>
        <w:ind w:firstLine="420"/>
      </w:pPr>
      <w:r>
        <w:rPr>
          <w:rFonts w:hAnsiTheme="minorEastAsia" w:eastAsiaTheme="minorEastAsia"/>
        </w:rPr>
        <w:t>3.若基金募集期限届满</w:t>
      </w:r>
      <w:r>
        <w:rPr>
          <w:rFonts w:hint="eastAsia" w:hAnsiTheme="minorEastAsia" w:eastAsiaTheme="minorEastAsia"/>
        </w:rPr>
        <w:t>或基金停止募集时</w:t>
      </w:r>
      <w:r>
        <w:rPr>
          <w:rFonts w:hAnsiTheme="minorEastAsia" w:eastAsiaTheme="minorEastAsia"/>
        </w:rPr>
        <w:t>，未能达到基金合同</w:t>
      </w:r>
      <w:r>
        <w:rPr>
          <w:rFonts w:hint="eastAsia" w:hAnsiTheme="minorEastAsia" w:eastAsiaTheme="minorEastAsia"/>
        </w:rPr>
        <w:t>备案</w:t>
      </w:r>
      <w:r>
        <w:rPr>
          <w:rFonts w:hAnsiTheme="minorEastAsia" w:eastAsiaTheme="minorEastAsia"/>
        </w:rPr>
        <w:t>的条件，由基金管理人按规定办理退款等事宜</w:t>
      </w:r>
      <w:r>
        <w:rPr>
          <w:rFonts w:hint="eastAsia" w:hAnsiTheme="minorEastAsia" w:eastAsiaTheme="minorEastAsia"/>
        </w:rPr>
        <w:t>，基金托管人应提供充分协助</w:t>
      </w:r>
      <w:r>
        <w:rPr>
          <w:rFonts w:hAnsiTheme="minorEastAsia" w:eastAsiaTheme="minorEastAsia"/>
        </w:rPr>
        <w:t>。</w:t>
      </w:r>
    </w:p>
    <w:p>
      <w:pPr>
        <w:ind w:firstLine="420"/>
      </w:pPr>
      <w:r>
        <w:rPr>
          <w:rFonts w:hAnsiTheme="minorEastAsia" w:eastAsiaTheme="minorEastAsia"/>
        </w:rPr>
        <w:t>（三）基金资金账户的开立和管理</w:t>
      </w:r>
    </w:p>
    <w:p>
      <w:pPr>
        <w:ind w:firstLine="420"/>
      </w:pPr>
      <w:r>
        <w:rPr>
          <w:rFonts w:hAnsiTheme="minorEastAsia" w:eastAsiaTheme="minorEastAsia"/>
        </w:rPr>
        <w:t>1.基金托管人以本基金的名义在其营业机构开立基金的资金账户（也可称为“托管账户”），保管基金的银行存款，并根据基金管理人的指令办理资金收付。基金管理人应当在开户（或变更或撤销）过程中给予必要的配合，并提供所需账户资料。基金管理人应保证所提供账户资料的真实性、准确性和有效性，并在账户资料发生变更后5个工作日内及时向基金托管人提供更新后的账户资料。由于未及时提供更新账户资料导致资金账户未能正常使用的，由基金管理人承担相应责任。托管账户名称应为“</w:t>
      </w:r>
      <w:r>
        <w:rPr>
          <w:rFonts w:hint="eastAsia" w:hAnsiTheme="minorEastAsia" w:eastAsiaTheme="minorEastAsia"/>
        </w:rPr>
        <w:t>兴合安元债券型证券投资基金</w:t>
      </w:r>
      <w:r>
        <w:rPr>
          <w:rFonts w:hAnsiTheme="minorEastAsia" w:eastAsiaTheme="minorEastAsia"/>
        </w:rPr>
        <w:t>”，预留印鉴为产品章1枚及托管人指定印章1枚，均由托管人预留，相关印章由托管人保管。</w:t>
      </w:r>
      <w:r>
        <w:rPr>
          <w:rFonts w:hint="eastAsia" w:hAnsiTheme="minorEastAsia" w:eastAsiaTheme="minorEastAsia"/>
        </w:rPr>
        <w:t>该账户不得透支、不得提现、不得通兑、不得购买支付凭证、</w:t>
      </w:r>
      <w:r>
        <w:rPr>
          <w:rFonts w:ascii="宋体" w:cs="宋体" w:hAnsiTheme="minorEastAsia" w:eastAsiaTheme="minorEastAsia"/>
          <w:color w:val="000000"/>
        </w:rPr>
        <w:t>不得开通网上银行转账功能</w:t>
      </w:r>
      <w:r>
        <w:rPr>
          <w:rFonts w:hint="eastAsia" w:hAnsiTheme="minorEastAsia" w:eastAsiaTheme="minorEastAsia"/>
        </w:rPr>
        <w:t>。</w:t>
      </w:r>
    </w:p>
    <w:p>
      <w:pPr>
        <w:ind w:firstLine="420"/>
      </w:pPr>
      <w:r>
        <w:rPr>
          <w:rFonts w:hAnsiTheme="minorEastAsia" w:eastAsiaTheme="minorEastAsia"/>
        </w:rPr>
        <w:t>2.基金资金账户的开立和使用，限于满足开展本基金业务的需要。基金托管人和基金管理人不得假借本基金的名义开立任何其他银行账户；亦不得使用基金的任何账户进行本基金业务以外的活动。</w:t>
      </w:r>
    </w:p>
    <w:p>
      <w:pPr>
        <w:ind w:firstLine="420"/>
        <w:rPr>
          <w:rFonts w:ascii="宋体" w:cs="宋体"/>
          <w:color w:val="000000"/>
          <w:sz w:val="22"/>
        </w:rPr>
      </w:pPr>
      <w:r>
        <w:rPr>
          <w:rFonts w:hAnsiTheme="minorEastAsia" w:eastAsiaTheme="minorEastAsia"/>
        </w:rPr>
        <w:t>3.基金资金账户的开立和管理应符合法律法规及银行业监督管理机构的有关规定。</w:t>
      </w:r>
      <w:r>
        <w:rPr>
          <w:rFonts w:ascii="宋体" w:cs="宋体" w:hAnsiTheme="minorEastAsia" w:eastAsiaTheme="minorEastAsia"/>
          <w:color w:val="000000"/>
          <w:sz w:val="22"/>
        </w:rPr>
        <w:t>基金管理人应按照人行反洗钱相关监管规定依法履行受益所有人识别义务，在开立托管账户时按照开户银行要求，就相关信息的提供、核实等提供必要的协助，</w:t>
      </w:r>
      <w:r>
        <w:rPr>
          <w:rFonts w:ascii="宋体" w:cs="宋体" w:hAnsiTheme="minorEastAsia" w:eastAsiaTheme="minorEastAsia"/>
          <w:color w:val="000000"/>
        </w:rPr>
        <w:t>并确保所提供的关于自身的信息以及证明材料的真实性、准确性</w:t>
      </w:r>
      <w:r>
        <w:rPr>
          <w:rFonts w:ascii="宋体" w:cs="宋体" w:hAnsiTheme="minorEastAsia" w:eastAsiaTheme="minorEastAsia"/>
          <w:color w:val="000000"/>
          <w:sz w:val="22"/>
        </w:rPr>
        <w:t>。</w:t>
      </w:r>
    </w:p>
    <w:p>
      <w:pPr>
        <w:ind w:firstLine="420"/>
      </w:pPr>
      <w:r>
        <w:rPr>
          <w:rFonts w:ascii="宋体" w:cs="宋体" w:hAnsiTheme="minorEastAsia" w:eastAsiaTheme="minorEastAsia"/>
          <w:color w:val="000000"/>
          <w:sz w:val="22"/>
        </w:rPr>
        <w:t>4.基金终止清算后，基金管理人应及时向基金托管人提交销户资料，办理基金托管账户销户手续，基金托管人应在销户过程中给予必要的协助和配合。</w:t>
      </w:r>
    </w:p>
    <w:p>
      <w:pPr>
        <w:ind w:firstLine="420"/>
      </w:pPr>
      <w:r>
        <w:rPr>
          <w:rFonts w:hAnsiTheme="minorEastAsia" w:eastAsiaTheme="minorEastAsia"/>
        </w:rPr>
        <w:t>（四）基金证券账户和</w:t>
      </w:r>
      <w:r>
        <w:rPr>
          <w:rFonts w:hint="eastAsia" w:hAnsiTheme="minorEastAsia" w:eastAsiaTheme="minorEastAsia"/>
        </w:rPr>
        <w:t>证券交易资金账户</w:t>
      </w:r>
      <w:r>
        <w:rPr>
          <w:rFonts w:hAnsiTheme="minorEastAsia" w:eastAsiaTheme="minorEastAsia"/>
        </w:rPr>
        <w:t>的开立和管理</w:t>
      </w:r>
    </w:p>
    <w:p>
      <w:pPr>
        <w:ind w:firstLine="420"/>
      </w:pPr>
      <w:r>
        <w:rPr>
          <w:rFonts w:hAnsiTheme="minorEastAsia" w:eastAsiaTheme="minorEastAsia"/>
        </w:rPr>
        <w:t>1.基金托管人在中国证券登记结算有限责任公司上海分公司、深圳分公司为基金开立基金托管人与基金联名的证券账户，基金管理人应在开户过程中给予必要的配合，并提供所需账户资料。</w:t>
      </w:r>
    </w:p>
    <w:p>
      <w:pPr>
        <w:ind w:firstLine="420"/>
      </w:pPr>
      <w:r>
        <w:rPr>
          <w:rFonts w:hAnsiTheme="minorEastAsia" w:eastAsiaTheme="minorEastAsia"/>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ind w:firstLine="420"/>
      </w:pPr>
      <w:r>
        <w:rPr>
          <w:rFonts w:hAnsiTheme="minorEastAsia" w:eastAsiaTheme="minorEastAsia"/>
        </w:rPr>
        <w:t>3.基金证券账户的开立和证券账户卡的保管由基金托管人负责，账户资产的管理和运用由基金管理人负责。</w:t>
      </w:r>
    </w:p>
    <w:p>
      <w:pPr>
        <w:ind w:firstLine="420"/>
        <w:rPr>
          <w:rFonts w:hint="eastAsia" w:hAnsiTheme="minorEastAsia" w:eastAsiaTheme="minorEastAsia"/>
        </w:rPr>
      </w:pPr>
      <w:r>
        <w:rPr>
          <w:rFonts w:hAnsiTheme="minorEastAsia" w:eastAsiaTheme="minorEastAsia"/>
        </w:rPr>
        <w:t>4.</w:t>
      </w:r>
      <w:r>
        <w:rPr>
          <w:rFonts w:hint="eastAsia" w:hAnsiTheme="minorEastAsia" w:eastAsiaTheme="minorEastAsia"/>
        </w:rPr>
        <w:t>基金证券账户开立后，基金管理人以本基金的名义在代理证券买卖的证券经纪商处开立证券交易资金账户，用于本基金交易所场内证券交易的结算以及现金资产的记录。本基金参与交易所证券交易的交易结算资金应由第三方存管银行存管，本基金在证券经纪商开立的证券交易资金账户、基金管理人以本基金名义在第三方存管银行开立的账户以及第三方存管银行为本基金建立的交易结算资金账户应当一一对应。基金管理人代表本基金与证券经纪商和第三方存管银行签署第三方存管协议及相关协议。本协议生效期间，银证转账密码由基金托管人负责保管和使用。</w:t>
      </w:r>
    </w:p>
    <w:p>
      <w:pPr>
        <w:ind w:firstLine="420"/>
      </w:pPr>
      <w:r>
        <w:rPr>
          <w:rFonts w:hint="eastAsia" w:hAnsiTheme="minorEastAsia" w:eastAsiaTheme="minorEastAsia"/>
        </w:rPr>
        <w:t>如需开立期货账户，基金管理人应依据相关期货交易所或期货公司的相关规定开立和管理期货账户。</w:t>
      </w:r>
    </w:p>
    <w:p>
      <w:pPr>
        <w:ind w:firstLine="420"/>
      </w:pPr>
      <w:r>
        <w:rPr>
          <w:rFonts w:hAnsiTheme="minorEastAsia" w:eastAsiaTheme="minorEastAsia"/>
        </w:rPr>
        <w:t>5.若中国证监会或其他监管机构在本托管协议</w:t>
      </w:r>
      <w:r>
        <w:rPr>
          <w:rFonts w:hint="eastAsia" w:hAnsiTheme="minorEastAsia" w:eastAsiaTheme="minorEastAsia"/>
        </w:rPr>
        <w:t>生效</w:t>
      </w:r>
      <w:r>
        <w:rPr>
          <w:rFonts w:hAnsiTheme="minorEastAsia" w:eastAsiaTheme="minorEastAsia"/>
        </w:rPr>
        <w:t>日之后允许基金从事其他投资品种的投资业务，涉及相关账户的开立、使用的，</w:t>
      </w:r>
      <w:r>
        <w:rPr>
          <w:rFonts w:hAnsiTheme="minorEastAsia" w:eastAsiaTheme="minorEastAsia"/>
          <w:color w:val="000000"/>
        </w:rPr>
        <w:t>按有关规定开立、使用并管理；</w:t>
      </w:r>
      <w:r>
        <w:rPr>
          <w:rFonts w:hAnsiTheme="minorEastAsia" w:eastAsiaTheme="minorEastAsia"/>
        </w:rPr>
        <w:t>若无相关规定，则基金托管人比照上述关于账户开立、使用的规定执行。</w:t>
      </w:r>
    </w:p>
    <w:p>
      <w:pPr>
        <w:ind w:firstLine="420"/>
      </w:pPr>
      <w:r>
        <w:rPr>
          <w:rFonts w:hAnsiTheme="minorEastAsia" w:eastAsiaTheme="minorEastAsia"/>
        </w:rPr>
        <w:t>（五）债券托管账户的开设和管理</w:t>
      </w:r>
    </w:p>
    <w:p>
      <w:pPr>
        <w:ind w:firstLine="420"/>
      </w:pPr>
      <w:r>
        <w:rPr>
          <w:rFonts w:hAnsiTheme="minorEastAsia" w:eastAsiaTheme="minorEastAsia"/>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基金管理人应在开户过程中给予必要的配合，并提供所需账户资料。</w:t>
      </w:r>
    </w:p>
    <w:p>
      <w:pPr>
        <w:ind w:firstLine="420"/>
      </w:pPr>
      <w:r>
        <w:rPr>
          <w:rFonts w:hAnsiTheme="minorEastAsia" w:eastAsiaTheme="minorEastAsia"/>
        </w:rPr>
        <w:t>（六）其他账户的开立和管理</w:t>
      </w:r>
    </w:p>
    <w:p>
      <w:pPr>
        <w:ind w:firstLine="420"/>
      </w:pPr>
      <w:r>
        <w:rPr>
          <w:rFonts w:hAnsiTheme="minorEastAsia" w:eastAsiaTheme="minorEastAsia"/>
        </w:rPr>
        <w:t>1.因业务发展需要而开立的其他账户，可以根据法律法规和基金合同的规定，由基金管理人和基金托管人按照有关法律法规和本协议的约定协商后开立。新账户按有关规定使用并管理。</w:t>
      </w:r>
    </w:p>
    <w:p>
      <w:pPr>
        <w:ind w:firstLine="420"/>
      </w:pPr>
      <w:r>
        <w:rPr>
          <w:rFonts w:hint="eastAsia" w:hAnsiTheme="minorEastAsia" w:eastAsiaTheme="minorEastAsia"/>
        </w:rPr>
        <w:t>2</w:t>
      </w:r>
      <w:r>
        <w:rPr>
          <w:rFonts w:hAnsiTheme="minorEastAsia" w:eastAsiaTheme="minorEastAsia"/>
        </w:rPr>
        <w:t>.法律法规等有关规定对相关账户的开立和管理另有规定的，从其规定办理。</w:t>
      </w:r>
    </w:p>
    <w:p>
      <w:pPr>
        <w:ind w:firstLine="420"/>
      </w:pPr>
      <w:r>
        <w:rPr>
          <w:rFonts w:hAnsiTheme="minorEastAsia" w:eastAsiaTheme="minorEastAsia"/>
        </w:rPr>
        <w:t>（七）基金财产投资的有关有价凭证等的保管</w:t>
      </w:r>
    </w:p>
    <w:p>
      <w:pPr>
        <w:ind w:firstLine="420"/>
      </w:pPr>
      <w:r>
        <w:rPr>
          <w:rFonts w:hAnsiTheme="minorEastAsia" w:eastAsiaTheme="minorEastAsia"/>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基金托管人以外机构实际有效控制的有价凭证不承担保管责任。</w:t>
      </w:r>
    </w:p>
    <w:p>
      <w:pPr>
        <w:ind w:firstLine="420"/>
      </w:pPr>
      <w:r>
        <w:rPr>
          <w:rFonts w:hAnsiTheme="minorEastAsia" w:eastAsiaTheme="minorEastAsia"/>
        </w:rPr>
        <w:t>（八）与基金财产有关的重大合同的保管</w:t>
      </w:r>
    </w:p>
    <w:p>
      <w:pPr>
        <w:ind w:firstLine="420"/>
      </w:pPr>
      <w:r>
        <w:rPr>
          <w:rFonts w:hAnsiTheme="minorEastAsia" w:eastAsiaTheme="minorEastAsia"/>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w:t>
      </w:r>
      <w:r>
        <w:rPr>
          <w:rFonts w:hint="eastAsia" w:hAnsiTheme="minorEastAsia" w:eastAsiaTheme="minorEastAsia"/>
        </w:rPr>
        <w:t>以</w:t>
      </w:r>
      <w:r>
        <w:rPr>
          <w:rFonts w:hAnsiTheme="minorEastAsia" w:eastAsiaTheme="minorEastAsia"/>
        </w:rPr>
        <w:t>传真</w:t>
      </w:r>
      <w:r>
        <w:rPr>
          <w:rFonts w:hint="eastAsia" w:hAnsiTheme="minorEastAsia" w:eastAsiaTheme="minorEastAsia"/>
        </w:rPr>
        <w:t>或双方认可的其他方式发送</w:t>
      </w:r>
      <w:r>
        <w:rPr>
          <w:rFonts w:hAnsiTheme="minorEastAsia" w:eastAsiaTheme="minorEastAsia"/>
        </w:rPr>
        <w:t>给基金托管人，并在三十个工作日内将正本送达基金托管人处。因基金管理人发送的合同传真件</w:t>
      </w:r>
      <w:r>
        <w:rPr>
          <w:rFonts w:hint="eastAsia" w:hAnsiTheme="minorEastAsia" w:eastAsiaTheme="minorEastAsia"/>
        </w:rPr>
        <w:t>/副本</w:t>
      </w:r>
      <w:r>
        <w:rPr>
          <w:rFonts w:hAnsiTheme="minorEastAsia" w:eastAsiaTheme="minorEastAsia"/>
        </w:rPr>
        <w:t>与事后送达的合同原件不一致所造成的后果，由基金管理人负责。重大合同的保管期限为基金合同终止后不少于</w:t>
      </w:r>
      <w:r>
        <w:rPr>
          <w:rFonts w:hint="eastAsia" w:hAnsiTheme="minorEastAsia" w:eastAsiaTheme="minorEastAsia"/>
        </w:rPr>
        <w:t>法定最低期限</w:t>
      </w:r>
      <w:r>
        <w:rPr>
          <w:rFonts w:hAnsiTheme="minorEastAsia" w:eastAsiaTheme="minorEastAsia"/>
        </w:rPr>
        <w:t>。</w:t>
      </w:r>
    </w:p>
    <w:p>
      <w:pPr>
        <w:ind w:firstLine="420"/>
      </w:pPr>
      <w:r>
        <w:rPr>
          <w:rFonts w:hAnsiTheme="minorEastAsia" w:eastAsiaTheme="minorEastAsia"/>
        </w:rPr>
        <w:t>对于无法取得二份以上的正本的，基金管理人应向基金托管人提供加盖公章的合同传真件</w:t>
      </w:r>
      <w:r>
        <w:rPr>
          <w:rFonts w:hint="eastAsia" w:hAnsiTheme="minorEastAsia" w:eastAsiaTheme="minorEastAsia"/>
        </w:rPr>
        <w:t>/副本</w:t>
      </w:r>
      <w:r>
        <w:rPr>
          <w:rFonts w:hAnsiTheme="minorEastAsia" w:eastAsiaTheme="minorEastAsia"/>
        </w:rPr>
        <w:t>，未经双方协商一致，合同原件不得转移。基金管理人向基金托管人提供的合同传真件</w:t>
      </w:r>
      <w:r>
        <w:rPr>
          <w:rFonts w:hint="eastAsia" w:hAnsiTheme="minorEastAsia" w:eastAsiaTheme="minorEastAsia"/>
        </w:rPr>
        <w:t>/副本</w:t>
      </w:r>
      <w:r>
        <w:rPr>
          <w:rFonts w:hAnsiTheme="minorEastAsia" w:eastAsiaTheme="minorEastAsia"/>
        </w:rPr>
        <w:t>与基金管理人留存原件不一致的，以传真件</w:t>
      </w:r>
      <w:r>
        <w:rPr>
          <w:rFonts w:hint="eastAsia" w:hAnsiTheme="minorEastAsia" w:eastAsiaTheme="minorEastAsia"/>
        </w:rPr>
        <w:t>/副本</w:t>
      </w:r>
      <w:r>
        <w:rPr>
          <w:rFonts w:hAnsiTheme="minorEastAsia" w:eastAsiaTheme="minorEastAsia"/>
        </w:rPr>
        <w:t>为准。</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bookmarkStart w:id="59" w:name="_Toc110765662"/>
      <w:bookmarkStart w:id="60" w:name="_Toc84133787"/>
      <w:bookmarkStart w:id="61" w:name="_Toc86649724"/>
      <w:bookmarkStart w:id="62" w:name="_Toc86204790"/>
      <w:bookmarkStart w:id="63" w:name="_Toc89163370"/>
      <w:bookmarkStart w:id="64" w:name="_Toc118774805"/>
      <w:bookmarkStart w:id="65" w:name="_Toc110830494"/>
      <w:bookmarkStart w:id="66" w:name="_Toc118972650"/>
      <w:bookmarkStart w:id="67" w:name="_Toc108512360"/>
      <w:bookmarkStart w:id="68" w:name="_Toc110761798"/>
      <w:bookmarkStart w:id="69" w:name="_Toc86225293"/>
      <w:bookmarkStart w:id="70" w:name="_Toc86727357"/>
      <w:bookmarkStart w:id="71" w:name="_Toc118212952"/>
      <w:bookmarkStart w:id="72" w:name="_Toc84234436"/>
      <w:bookmarkStart w:id="73" w:name="_Toc86737931"/>
      <w:bookmarkStart w:id="74" w:name="_Toc86726441"/>
      <w:bookmarkStart w:id="75" w:name="_Toc86223244"/>
      <w:bookmarkStart w:id="76" w:name="_Toc120435785"/>
      <w:bookmarkStart w:id="77" w:name="_Toc84234389"/>
      <w:bookmarkStart w:id="78" w:name="_Toc119402712"/>
      <w:r>
        <w:rPr>
          <w:rFonts w:ascii="Times New Roman" w:hAnsiTheme="minorEastAsia" w:eastAsiaTheme="minorEastAsia"/>
          <w:sz w:val="21"/>
          <w:szCs w:val="21"/>
        </w:rPr>
        <w:br w:type="page"/>
      </w:r>
      <w:bookmarkStart w:id="79" w:name="_Toc126347214"/>
      <w:bookmarkStart w:id="80" w:name="_Toc348082034"/>
      <w:r>
        <w:rPr>
          <w:rFonts w:ascii="Times New Roman" w:hAnsiTheme="minorEastAsia" w:eastAsiaTheme="minorEastAsia"/>
          <w:sz w:val="21"/>
          <w:szCs w:val="21"/>
        </w:rPr>
        <w:t>六、指令的发送、确认及执行</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ind w:firstLine="420"/>
      </w:pPr>
      <w:r>
        <w:rPr>
          <w:rFonts w:hAnsiTheme="minorEastAsia" w:eastAsiaTheme="minorEastAsia"/>
        </w:rPr>
        <w:t>基金管理人在运用基金财产时向基金托管人发送</w:t>
      </w:r>
      <w:r>
        <w:rPr>
          <w:rFonts w:hint="eastAsia" w:hAnsiTheme="minorEastAsia" w:eastAsiaTheme="minorEastAsia"/>
        </w:rPr>
        <w:t>场外</w:t>
      </w:r>
      <w:r>
        <w:rPr>
          <w:rFonts w:hAnsiTheme="minorEastAsia" w:eastAsiaTheme="minorEastAsia"/>
        </w:rPr>
        <w:t>资金划拨及其他款项付款指令，基金托管人执行基金管理人的指令、办理基金名下的资金往来等有关事项。</w:t>
      </w:r>
    </w:p>
    <w:p>
      <w:pPr>
        <w:ind w:firstLine="420"/>
      </w:pPr>
      <w:r>
        <w:rPr>
          <w:rFonts w:hAnsiTheme="minorEastAsia" w:eastAsiaTheme="minorEastAsia"/>
        </w:rPr>
        <w:t>基金管理人发送的指令包括电子指令和纸质指令。</w:t>
      </w:r>
    </w:p>
    <w:p>
      <w:pPr>
        <w:ind w:firstLine="420"/>
      </w:pPr>
      <w:r>
        <w:rPr>
          <w:rFonts w:hAnsiTheme="minorEastAsia" w:eastAsiaTheme="minorEastAsia"/>
        </w:rPr>
        <w:t>电子指令包括基金管理人发送的电子指令（采用电子报文传送的电子指令、网上托管银行管理人客户端录入的电子指令）、自动产生的电子指令（网上托管银行托管人端根据</w:t>
      </w:r>
      <w:r>
        <w:rPr>
          <w:rFonts w:hint="eastAsia" w:hAnsiTheme="minorEastAsia" w:eastAsiaTheme="minorEastAsia"/>
        </w:rPr>
        <w:t>管理人同意</w:t>
      </w:r>
      <w:r>
        <w:rPr>
          <w:rFonts w:hAnsiTheme="minorEastAsia" w:eastAsiaTheme="minorEastAsia"/>
        </w:rPr>
        <w:t>预先设定的业务规则自动产生的电子指令）。管理人在启用电子指令前应使用传真或其他与基金托管人协商一致的方式向基金托管人发出启用函。启用函应注明启用的业务类型、启用日期等。启用函应加盖基金管理人公司公章。</w:t>
      </w:r>
    </w:p>
    <w:p>
      <w:pPr>
        <w:ind w:firstLine="420"/>
      </w:pPr>
      <w:r>
        <w:rPr>
          <w:rFonts w:hAnsiTheme="minorEastAsia" w:eastAsiaTheme="minorEastAsia"/>
        </w:rPr>
        <w:t>（一）基金管理人对发送指令人员的书面授权</w:t>
      </w:r>
    </w:p>
    <w:p>
      <w:pPr>
        <w:ind w:firstLine="420"/>
      </w:pPr>
      <w:r>
        <w:rPr>
          <w:rFonts w:hAnsiTheme="minorEastAsia" w:eastAsiaTheme="minorEastAsia"/>
        </w:rPr>
        <w:t>授权通知的内容：基金管理人应事先向基金托管人提供书面授权通知（以下称“授权通知”），指定指令的被授权人员及被授权印鉴，授权通知的内容包括被授权人的名单、签章样本、权限和预留印鉴。授权通知应加盖基金管理人公司公章并写明生效时间。基金管理人应使用传真或其他与基金托管人协商一致的方式向基金托管人发出授权通知，同时电话通知基金托管人。授权通知经基金管理人与基金托管人以电话方式或其他基金管理人和基金托管人认可的方式确认后，于授权通知载明的生效时间生效。基金管理人在此后三个工作日内将授权通知的正本送交基金托管人。授权通知书正本内容与基金托管人收到的传真</w:t>
      </w:r>
      <w:bookmarkStart w:id="81" w:name="OLE_LINK1"/>
      <w:r>
        <w:rPr>
          <w:rFonts w:hint="eastAsia" w:hAnsiTheme="minorEastAsia" w:eastAsiaTheme="minorEastAsia"/>
        </w:rPr>
        <w:t>/副本</w:t>
      </w:r>
      <w:bookmarkEnd w:id="81"/>
      <w:r>
        <w:rPr>
          <w:rFonts w:hAnsiTheme="minorEastAsia" w:eastAsiaTheme="minorEastAsia"/>
        </w:rPr>
        <w:t>不一致的，以基金托管人收到的传真</w:t>
      </w:r>
      <w:r>
        <w:rPr>
          <w:rFonts w:hint="eastAsia" w:hAnsiTheme="minorEastAsia" w:eastAsiaTheme="minorEastAsia"/>
        </w:rPr>
        <w:t>/副本</w:t>
      </w:r>
      <w:r>
        <w:rPr>
          <w:rFonts w:hAnsiTheme="minorEastAsia" w:eastAsiaTheme="minorEastAsia"/>
        </w:rPr>
        <w:t>为准。</w:t>
      </w:r>
    </w:p>
    <w:p>
      <w:pPr>
        <w:ind w:firstLine="420"/>
      </w:pPr>
      <w:r>
        <w:rPr>
          <w:rFonts w:hAnsiTheme="minorEastAsia" w:eastAsiaTheme="minorEastAsia"/>
        </w:rPr>
        <w:t>基金管理人和基金托管人对授权通知负有保密义务，其内容不得向授权人、被授权人及相关操作人员以外的任何人泄露，但法律法规规定或有权机关另有要求的除外。</w:t>
      </w:r>
    </w:p>
    <w:p>
      <w:pPr>
        <w:ind w:firstLine="420"/>
      </w:pPr>
      <w:r>
        <w:rPr>
          <w:rFonts w:hAnsiTheme="minorEastAsia" w:eastAsiaTheme="minorEastAsia"/>
        </w:rPr>
        <w:t>（二）指令的内容</w:t>
      </w:r>
    </w:p>
    <w:p>
      <w:pPr>
        <w:ind w:firstLine="420"/>
      </w:pPr>
      <w:r>
        <w:rPr>
          <w:rFonts w:hAnsiTheme="minorEastAsia" w:eastAsiaTheme="minorEastAsia"/>
        </w:rPr>
        <w:t>投资指令是在管理本基金时，基金管理人向基金托管人发出的交易成交单、交易指令及资金划拨类指令（以下简称“指令”）。指令应加盖预留印鉴并由被授权人签章。基金管理人发给基金托管人的资金划拨类指令应写明款项事由、时间、金额、出款和收款账户信息等。</w:t>
      </w:r>
    </w:p>
    <w:p>
      <w:pPr>
        <w:ind w:firstLine="420"/>
      </w:pPr>
      <w:r>
        <w:rPr>
          <w:rFonts w:hAnsiTheme="minorEastAsia" w:eastAsiaTheme="minorEastAsia"/>
        </w:rPr>
        <w:t>（三）指令的发送、确认及执行的时间和程序</w:t>
      </w:r>
    </w:p>
    <w:p>
      <w:pPr>
        <w:ind w:firstLine="420"/>
      </w:pPr>
      <w:r>
        <w:rPr>
          <w:rFonts w:hAnsiTheme="minorEastAsia" w:eastAsiaTheme="minorEastAsia"/>
        </w:rPr>
        <w:t>1.指令的发送：基金管理人应按照相关法律法规以及本协议的规定，在其合法的经营权限和交易权限内依照授权通知的授权用传真方式或其他基金托管人和基金管理人认可的方式向基金托管人发送。基金管理人在发送指令时，应确保相关出款账户有足够的资金余额，并为基金托管人留出执行指令所必需的时间。</w:t>
      </w:r>
    </w:p>
    <w:p>
      <w:pPr>
        <w:ind w:firstLine="420"/>
      </w:pPr>
      <w:r>
        <w:rPr>
          <w:rFonts w:hAnsiTheme="minorEastAsia" w:eastAsiaTheme="minorEastAsia"/>
        </w:rPr>
        <w:t>基金托管人采用邮箱白名单方式控制指令接收风险。基金管理人应向基金托管人出具往来邮箱授权函（已出具统一授权函的除外），通过授权函指定的邮箱向基金托管人发送指令，未通过约定的邮箱发送的指令，基金托管人有权拒绝执行。如基金管理人需变更联系人及邮箱，需提前1个工作日向基金托管人提供新的联系人信息并加盖基金管理人印章，为基金托管人履行变更程序预留足够时间。</w:t>
      </w:r>
    </w:p>
    <w:p>
      <w:pPr>
        <w:ind w:firstLine="420"/>
      </w:pPr>
      <w:bookmarkStart w:id="82" w:name="OLE_LINK15"/>
      <w:r>
        <w:rPr>
          <w:rFonts w:hAnsiTheme="minorEastAsia" w:eastAsiaTheme="minorEastAsia"/>
        </w:rPr>
        <w:t>对于场内业务，</w:t>
      </w:r>
      <w:r>
        <w:rPr>
          <w:rFonts w:hint="eastAsia" w:hAnsiTheme="minorEastAsia" w:eastAsiaTheme="minorEastAsia"/>
        </w:rPr>
        <w:t>基金管理人在运用基金财产开展场内证券交易前，基金管理人通过基金托管账户与证券交易资金账户已建立的第三方存管系统在基金托管账户与证券交易资金账户之间划款，即银证互转</w:t>
      </w:r>
      <w:r>
        <w:rPr>
          <w:rFonts w:hAnsiTheme="minorEastAsia" w:eastAsiaTheme="minorEastAsia"/>
        </w:rPr>
        <w:t>。</w:t>
      </w:r>
      <w:bookmarkEnd w:id="82"/>
    </w:p>
    <w:p>
      <w:pPr>
        <w:ind w:firstLine="420"/>
      </w:pPr>
      <w:r>
        <w:rPr>
          <w:rFonts w:hAnsiTheme="minorEastAsia" w:eastAsiaTheme="minorEastAsia"/>
        </w:rPr>
        <w:t>对于银行间业务，</w:t>
      </w:r>
      <w:r>
        <w:rPr>
          <w:rFonts w:hint="eastAsia" w:ascii="宋体" w:hAnsiTheme="minorEastAsia" w:eastAsiaTheme="minorEastAsia"/>
        </w:rPr>
        <w:t>如需发送银行间成交单或者划款指令的，</w:t>
      </w:r>
      <w:r>
        <w:rPr>
          <w:rFonts w:hAnsiTheme="minorEastAsia" w:eastAsiaTheme="minorEastAsia"/>
        </w:rPr>
        <w:t>基金管理人应于交易日15:00前将银行间成交单及相关划款指令发送至基金托管人。基金管理人应与基金托管人确认基金托管人已完成证书和权限设置后方可进行本基金的银行间交易。</w:t>
      </w:r>
    </w:p>
    <w:p>
      <w:pPr>
        <w:ind w:firstLine="420"/>
      </w:pPr>
      <w:r>
        <w:rPr>
          <w:rFonts w:hAnsiTheme="minorEastAsia" w:eastAsiaTheme="minorEastAsia"/>
        </w:rPr>
        <w:t>对于指定时间出款的交易指令，基金管理人应提前2个小时将指令发送至基金托管人；对于基金管理人于15:00以后发送至基金托管人的指令，基金托管人</w:t>
      </w:r>
      <w:r>
        <w:rPr>
          <w:rFonts w:hint="eastAsia" w:ascii="宋体" w:hAnsiTheme="minorEastAsia" w:eastAsiaTheme="minorEastAsia"/>
        </w:rPr>
        <w:t>应配合出款，但</w:t>
      </w:r>
      <w:r>
        <w:rPr>
          <w:rFonts w:hAnsiTheme="minorEastAsia" w:eastAsiaTheme="minorEastAsia"/>
        </w:rPr>
        <w:t>不保证当日出款。</w:t>
      </w:r>
    </w:p>
    <w:p>
      <w:pPr>
        <w:ind w:firstLine="420"/>
      </w:pPr>
      <w:r>
        <w:rPr>
          <w:rFonts w:hAnsiTheme="minorEastAsia" w:eastAsiaTheme="minorEastAsia"/>
        </w:rPr>
        <w:t>2.指令的确认：基金管理人有义务在发送指令后与基金托管人进行电话确认或双方认可的方式确认。指令以获得基金托管人确认该指令已成功接收之时视为送达基金托管人。对于依照“授权通知”发出的指令，基金管理人不得否认其效力。</w:t>
      </w:r>
    </w:p>
    <w:p>
      <w:pPr>
        <w:ind w:firstLine="420"/>
      </w:pPr>
      <w:r>
        <w:rPr>
          <w:rFonts w:hAnsiTheme="minorEastAsia" w:eastAsiaTheme="minorEastAsia"/>
        </w:rPr>
        <w:t>3.指令的执行：基金托管人确认收到基金管理人发送的指令后，应对指令进行形式审查，验证指令的要素是否齐全，印鉴和签章是否和预留印鉴和签章样本相符，指令复核无误后应在规定期限内及时执行。</w:t>
      </w:r>
    </w:p>
    <w:p>
      <w:pPr>
        <w:ind w:firstLine="420"/>
      </w:pPr>
      <w:r>
        <w:rPr>
          <w:rFonts w:hAnsiTheme="minorEastAsia" w:eastAsiaTheme="minorEastAsia"/>
        </w:rPr>
        <w:t>在指令未执行的前提下，若基金管理人撤销指令，基金管理人应在原指令上注明“作废”并加盖预留印鉴及被授权人签章后传真给基金托管人，并电话通知基金托管人。</w:t>
      </w:r>
    </w:p>
    <w:p>
      <w:pPr>
        <w:ind w:firstLine="420"/>
      </w:pPr>
      <w:r>
        <w:rPr>
          <w:rFonts w:hAnsiTheme="minorEastAsia" w:eastAsiaTheme="minorEastAsia"/>
        </w:rPr>
        <w:t>（四）基金管理人发送错误指令的情形和处理程序</w:t>
      </w:r>
    </w:p>
    <w:p>
      <w:pPr>
        <w:ind w:firstLine="420"/>
      </w:pPr>
      <w:r>
        <w:rPr>
          <w:rFonts w:hAnsiTheme="minorEastAsia" w:eastAsiaTheme="minorEastAsia"/>
        </w:rPr>
        <w:t>1、基金管理人发送错误指令的情形包括指令发送人员无权或超越权限发送指令，指令不能辨识或要素不全导致无法执行等情形。</w:t>
      </w:r>
    </w:p>
    <w:p>
      <w:pPr>
        <w:ind w:firstLine="420"/>
      </w:pPr>
      <w:r>
        <w:rPr>
          <w:rFonts w:hAnsiTheme="minorEastAsia" w:eastAsiaTheme="minorEastAsia"/>
        </w:rPr>
        <w:t>2、当基金托管人认为所接</w:t>
      </w:r>
      <w:r>
        <w:rPr>
          <w:rFonts w:hint="eastAsia" w:hAnsiTheme="minorEastAsia" w:eastAsiaTheme="minorEastAsia"/>
        </w:rPr>
        <w:t>收</w:t>
      </w:r>
      <w:r>
        <w:rPr>
          <w:rFonts w:hAnsiTheme="minorEastAsia" w:eastAsiaTheme="minorEastAsia"/>
        </w:rPr>
        <w:t>指令为错误指令时，应及时与基金管理人进行电话确认，暂停指令的执行并要求基金管理人重新发送指令。基金托管人有权要求基金管理人提供相关交易凭证、合同或其他有效会计资料，以确保基金托管人有足够的资料来判断指令的有效性。基金托管人待收齐相关资料并判断指令有效后重新开始执行指令。基金管理人应在合理时间内补充相关资料，并给基金托管人预留必要的执行时间，否则基金托管人对因此造成的延误不承担</w:t>
      </w:r>
      <w:r>
        <w:rPr>
          <w:rFonts w:hint="eastAsia" w:hAnsiTheme="minorEastAsia" w:eastAsiaTheme="minorEastAsia"/>
        </w:rPr>
        <w:t>相应</w:t>
      </w:r>
      <w:r>
        <w:rPr>
          <w:rFonts w:hAnsiTheme="minorEastAsia" w:eastAsiaTheme="minorEastAsia"/>
        </w:rPr>
        <w:t>责任。</w:t>
      </w:r>
    </w:p>
    <w:p>
      <w:pPr>
        <w:ind w:firstLine="420"/>
      </w:pPr>
      <w:r>
        <w:rPr>
          <w:rFonts w:hAnsiTheme="minorEastAsia" w:eastAsiaTheme="minorEastAsia"/>
        </w:rPr>
        <w:t>（五）基金托管人依照法律法规暂缓、拒绝执行指令的情形和处理程序</w:t>
      </w:r>
    </w:p>
    <w:p>
      <w:pPr>
        <w:ind w:firstLine="420"/>
      </w:pPr>
      <w:r>
        <w:rPr>
          <w:rFonts w:hAnsiTheme="minorEastAsia" w:eastAsiaTheme="minorEastAsia"/>
        </w:rPr>
        <w:t>基金托管人发现基金管理人发送的指令有可能违反《基金法》、《运作办法》、《基金合同》、本协议或其他有关法律法规的规定时，应暂缓执行指令，并及时通知基金管理人，基金管理人收到通知后应及时核对并纠正；如相关交易已生效，则应通知基金管理人在</w:t>
      </w:r>
      <w:r>
        <w:rPr>
          <w:rFonts w:hint="eastAsia" w:hAnsiTheme="minorEastAsia" w:eastAsiaTheme="minorEastAsia"/>
        </w:rPr>
        <w:t>法律法规或基金合同规定期限</w:t>
      </w:r>
      <w:r>
        <w:rPr>
          <w:rFonts w:hAnsiTheme="minorEastAsia" w:eastAsiaTheme="minorEastAsia"/>
        </w:rPr>
        <w:t>内纠正，并报告中国证监会。对于基金托管人事前难以监督的交易行为，基金托管人在事后履行了对基金管理人的通知以及向中国证监会的报告义务后，即视为完全履行了其投资监督职责。对于</w:t>
      </w:r>
      <w:r>
        <w:rPr>
          <w:rFonts w:hint="eastAsia" w:hAnsiTheme="minorEastAsia" w:eastAsiaTheme="minorEastAsia"/>
        </w:rPr>
        <w:t>基金托管人已依基金合同和本协议约定履行了投资监督职责的，</w:t>
      </w:r>
      <w:r>
        <w:rPr>
          <w:rFonts w:hAnsiTheme="minorEastAsia" w:eastAsiaTheme="minorEastAsia"/>
        </w:rPr>
        <w:t>基金管理人违反《基金法》、《运作办法》、《基金合同》、本协议或其他有关法律法规的规定造成基金财产损失的，由基金管理人承担</w:t>
      </w:r>
      <w:r>
        <w:rPr>
          <w:rFonts w:hint="eastAsia" w:hAnsiTheme="minorEastAsia" w:eastAsiaTheme="minorEastAsia"/>
        </w:rPr>
        <w:t>相应</w:t>
      </w:r>
      <w:r>
        <w:rPr>
          <w:rFonts w:hAnsiTheme="minorEastAsia" w:eastAsiaTheme="minorEastAsia"/>
        </w:rPr>
        <w:t>责任，基金托管人免于承担</w:t>
      </w:r>
      <w:r>
        <w:rPr>
          <w:rFonts w:hint="eastAsia" w:hAnsiTheme="minorEastAsia" w:eastAsiaTheme="minorEastAsia"/>
        </w:rPr>
        <w:t>相应</w:t>
      </w:r>
      <w:r>
        <w:rPr>
          <w:rFonts w:hAnsiTheme="minorEastAsia" w:eastAsiaTheme="minorEastAsia"/>
        </w:rPr>
        <w:t>责任。</w:t>
      </w:r>
    </w:p>
    <w:p>
      <w:pPr>
        <w:ind w:firstLine="420"/>
      </w:pPr>
      <w:r>
        <w:rPr>
          <w:rFonts w:hAnsiTheme="minorEastAsia" w:eastAsiaTheme="minorEastAsia"/>
        </w:rPr>
        <w:t>（六）基金托管人未按照基金管理人指令执行的处理方法</w:t>
      </w:r>
    </w:p>
    <w:p>
      <w:pPr>
        <w:ind w:firstLine="420"/>
      </w:pPr>
      <w:r>
        <w:rPr>
          <w:rFonts w:hAnsiTheme="minorEastAsia" w:eastAsiaTheme="minorEastAsia"/>
        </w:rPr>
        <w:t>对于基金管理人的有效指令和通知，除非违反法律法规、基金合同、托管协议或具有第（四）项所述错误，基金托管人不得无故拒绝或拖延执行，否则应就基金或基金管理人由此产生的损失负赔偿责任。</w:t>
      </w:r>
    </w:p>
    <w:p>
      <w:pPr>
        <w:ind w:firstLine="420"/>
      </w:pPr>
      <w:r>
        <w:rPr>
          <w:rFonts w:hAnsiTheme="minorEastAsia" w:eastAsiaTheme="minorEastAsia"/>
        </w:rPr>
        <w:t>除因故意或过失致使基金、基金管理人的利益受到损害而负赔偿责任外，基金托管人对</w:t>
      </w:r>
      <w:r>
        <w:rPr>
          <w:rFonts w:hint="eastAsia" w:hAnsiTheme="minorEastAsia" w:eastAsiaTheme="minorEastAsia"/>
        </w:rPr>
        <w:t>正确、及时</w:t>
      </w:r>
      <w:r>
        <w:rPr>
          <w:rFonts w:hAnsiTheme="minorEastAsia" w:eastAsiaTheme="minorEastAsia"/>
        </w:rPr>
        <w:t>执行基金管理人的合法指令对基金财产造成的损失不承担赔偿责任。</w:t>
      </w:r>
    </w:p>
    <w:p>
      <w:pPr>
        <w:ind w:firstLine="420"/>
      </w:pPr>
      <w:r>
        <w:rPr>
          <w:rFonts w:hAnsiTheme="minorEastAsia" w:eastAsiaTheme="minorEastAsia"/>
        </w:rPr>
        <w:t>（七）更换被授权人员的程序</w:t>
      </w:r>
    </w:p>
    <w:p>
      <w:pPr>
        <w:ind w:firstLine="420"/>
      </w:pPr>
      <w:r>
        <w:rPr>
          <w:rFonts w:hAnsiTheme="minorEastAsia" w:eastAsiaTheme="minorEastAsia"/>
        </w:rPr>
        <w:t>基金管理人撤换被授权人员或改变被授权人员的权限，必须提前至少一个交易日，使用传真方式或其他基金管理人和基金托管人认可的方式向基金托管人发出加盖基金管理人公司公章的书面变更通知，同时电话通知基金托管人。被授权人</w:t>
      </w:r>
      <w:r>
        <w:rPr>
          <w:rFonts w:hint="eastAsia" w:hAnsiTheme="minorEastAsia" w:eastAsiaTheme="minorEastAsia"/>
        </w:rPr>
        <w:t>或</w:t>
      </w:r>
      <w:r>
        <w:rPr>
          <w:rFonts w:hAnsiTheme="minorEastAsia" w:eastAsiaTheme="minorEastAsia"/>
        </w:rPr>
        <w:t>权限变更通知，经基金管理人与基金托管人以电话方式或其他基金管理人和基金托管人认可的方式确认后，于</w:t>
      </w:r>
      <w:r>
        <w:rPr>
          <w:rFonts w:hint="eastAsia" w:hAnsiTheme="minorEastAsia" w:eastAsiaTheme="minorEastAsia"/>
        </w:rPr>
        <w:t>变更</w:t>
      </w:r>
      <w:r>
        <w:rPr>
          <w:rFonts w:hAnsiTheme="minorEastAsia" w:eastAsiaTheme="minorEastAsia"/>
        </w:rPr>
        <w:t>通知载明的生效时间生效，同时原授权通知失效。基金管理人在此后三个工作日内将被授权人</w:t>
      </w:r>
      <w:r>
        <w:rPr>
          <w:rFonts w:hint="eastAsia" w:hAnsiTheme="minorEastAsia" w:eastAsiaTheme="minorEastAsia"/>
        </w:rPr>
        <w:t>或权限</w:t>
      </w:r>
      <w:r>
        <w:rPr>
          <w:rFonts w:hAnsiTheme="minorEastAsia" w:eastAsiaTheme="minorEastAsia"/>
        </w:rPr>
        <w:t>变更通知的正本送交基金托管人。变更通知书面正本内容与基金托管人收到的传真</w:t>
      </w:r>
      <w:r>
        <w:rPr>
          <w:rFonts w:hint="eastAsia" w:hAnsiTheme="minorEastAsia" w:eastAsiaTheme="minorEastAsia"/>
        </w:rPr>
        <w:t>/副本</w:t>
      </w:r>
      <w:r>
        <w:rPr>
          <w:rFonts w:hAnsiTheme="minorEastAsia" w:eastAsiaTheme="minorEastAsia"/>
        </w:rPr>
        <w:t>不一致的，以基金托管人收到的传真</w:t>
      </w:r>
      <w:r>
        <w:rPr>
          <w:rFonts w:hint="eastAsia" w:hAnsiTheme="minorEastAsia" w:eastAsiaTheme="minorEastAsia"/>
        </w:rPr>
        <w:t>/副本</w:t>
      </w:r>
      <w:r>
        <w:rPr>
          <w:rFonts w:hAnsiTheme="minorEastAsia" w:eastAsiaTheme="minorEastAsia"/>
        </w:rPr>
        <w:t>为准。</w:t>
      </w:r>
    </w:p>
    <w:p>
      <w:pPr>
        <w:ind w:firstLine="420"/>
      </w:pPr>
      <w:r>
        <w:rPr>
          <w:rFonts w:hAnsiTheme="minorEastAsia" w:eastAsiaTheme="minorEastAsia"/>
        </w:rPr>
        <w:t>基金托管人更换接收基金管理人指令的人员，应提前通知基金管理人。</w:t>
      </w:r>
    </w:p>
    <w:p>
      <w:pPr>
        <w:ind w:firstLine="420"/>
      </w:pPr>
      <w:r>
        <w:rPr>
          <w:rFonts w:hAnsiTheme="minorEastAsia" w:eastAsiaTheme="minorEastAsia"/>
        </w:rPr>
        <w:t>（八）指令的保管</w:t>
      </w:r>
    </w:p>
    <w:p>
      <w:pPr>
        <w:ind w:firstLine="420"/>
      </w:pPr>
      <w:r>
        <w:rPr>
          <w:rFonts w:hAnsiTheme="minorEastAsia" w:eastAsiaTheme="minorEastAsia"/>
        </w:rPr>
        <w:t>指令若以传真形式发出，则正本由基金管理人保管，基金托管人保管指令传真件。当两者不一致时，以基金托管人收到的指令传真件为准。</w:t>
      </w:r>
    </w:p>
    <w:p>
      <w:pPr>
        <w:ind w:firstLine="420"/>
      </w:pPr>
      <w:r>
        <w:rPr>
          <w:rFonts w:hAnsiTheme="minorEastAsia" w:eastAsiaTheme="minorEastAsia"/>
        </w:rPr>
        <w:t>（九）相关责任</w:t>
      </w:r>
    </w:p>
    <w:p>
      <w:pPr>
        <w:ind w:firstLine="420"/>
      </w:pPr>
      <w:r>
        <w:rPr>
          <w:rFonts w:hAnsiTheme="minorEastAsia" w:eastAsiaTheme="minorEastAsia"/>
        </w:rPr>
        <w:t>对基金管理人在没有充足资金的情况下向基金托管人发出的指令致使资金未能及时清算所造成的损失由基金管理人承担。因基金管理人原因造成的传输不及时、未能留出足够执行时间、未能及时与基金托管人进行指令确认致使资金未能及时清算或交易失败所造成的损失由基金管理人承担。基金托管人正确</w:t>
      </w:r>
      <w:r>
        <w:rPr>
          <w:rFonts w:hint="eastAsia" w:hAnsiTheme="minorEastAsia" w:eastAsiaTheme="minorEastAsia"/>
        </w:rPr>
        <w:t>、及时、完整</w:t>
      </w:r>
      <w:r>
        <w:rPr>
          <w:rFonts w:hAnsiTheme="minorEastAsia" w:eastAsiaTheme="minorEastAsia"/>
        </w:rPr>
        <w:t>执行基金管理人发送的有效指令，基金财产发生损失的，基金托管人不承担任何形式的责任。在正常业务受理渠道和指令规定的时间内，因基金托管人原因造成未能及时</w:t>
      </w:r>
      <w:r>
        <w:rPr>
          <w:rFonts w:hint="eastAsia" w:hAnsiTheme="minorEastAsia" w:eastAsiaTheme="minorEastAsia"/>
        </w:rPr>
        <w:t>、</w:t>
      </w:r>
      <w:r>
        <w:rPr>
          <w:rFonts w:hAnsiTheme="minorEastAsia" w:eastAsiaTheme="minorEastAsia"/>
        </w:rPr>
        <w:t>正确</w:t>
      </w:r>
      <w:r>
        <w:rPr>
          <w:rFonts w:hint="eastAsia" w:hAnsiTheme="minorEastAsia" w:eastAsiaTheme="minorEastAsia"/>
        </w:rPr>
        <w:t>或完整</w:t>
      </w:r>
      <w:r>
        <w:rPr>
          <w:rFonts w:hAnsiTheme="minorEastAsia" w:eastAsiaTheme="minorEastAsia"/>
        </w:rPr>
        <w:t>执行合法合规的指令而导致基金财产</w:t>
      </w:r>
      <w:r>
        <w:rPr>
          <w:rFonts w:hint="eastAsia" w:hAnsiTheme="minorEastAsia" w:eastAsiaTheme="minorEastAsia"/>
          <w:szCs w:val="21"/>
        </w:rPr>
        <w:t>、基金管理人</w:t>
      </w:r>
      <w:r>
        <w:rPr>
          <w:rFonts w:hAnsiTheme="minorEastAsia" w:eastAsiaTheme="minorEastAsia"/>
        </w:rPr>
        <w:t>受损的，基金托管人应承担相应的责任，但如遇到不可抗力的情况除外。</w:t>
      </w:r>
    </w:p>
    <w:p>
      <w:pPr>
        <w:ind w:firstLine="420"/>
      </w:pPr>
      <w:r>
        <w:rPr>
          <w:rFonts w:hAnsiTheme="minorEastAsia" w:eastAsiaTheme="minorEastAsia"/>
        </w:rPr>
        <w:t>基金托管人根据本协议相关规定履行形式审核职责，如果基金管理人的指令存在事实上未经授权、欺诈、伪造或未能及时提供授权通知等情形，基金托管人不承担因执行有关指令或拒绝执行有关指令而给基金管理人或基金资产或任何第三方带来的损失，全部责任由基金管理人承担，但基金托管人未按</w:t>
      </w:r>
      <w:r>
        <w:rPr>
          <w:rFonts w:hint="eastAsia" w:ascii="宋体" w:hAnsiTheme="minorEastAsia" w:eastAsiaTheme="minorEastAsia"/>
        </w:rPr>
        <w:t>本协议</w:t>
      </w:r>
      <w:r>
        <w:rPr>
          <w:rFonts w:hAnsiTheme="minorEastAsia" w:eastAsiaTheme="minorEastAsia"/>
        </w:rPr>
        <w:t>约定尽形式审核义务执行指令而造成损失的情形除外。</w:t>
      </w:r>
    </w:p>
    <w:p>
      <w:pPr>
        <w:ind w:firstLine="420"/>
        <w:contextualSpacing/>
        <w:rPr>
          <w:szCs w:val="21"/>
        </w:rPr>
      </w:pPr>
    </w:p>
    <w:p>
      <w:pPr>
        <w:pStyle w:val="4"/>
        <w:spacing w:before="312" w:after="156" w:line="360" w:lineRule="auto"/>
        <w:ind w:firstLine="422"/>
        <w:jc w:val="center"/>
        <w:rPr>
          <w:rFonts w:ascii="Times New Roman" w:hAnsi="Times New Roman" w:eastAsia="宋体"/>
          <w:sz w:val="21"/>
          <w:szCs w:val="21"/>
        </w:rPr>
      </w:pPr>
      <w:bookmarkStart w:id="83" w:name="_Toc118972651"/>
      <w:bookmarkStart w:id="84" w:name="_Toc118774806"/>
      <w:bookmarkStart w:id="85" w:name="_Toc86737932"/>
      <w:bookmarkStart w:id="86" w:name="_Toc86204791"/>
      <w:bookmarkStart w:id="87" w:name="_Toc89163371"/>
      <w:bookmarkStart w:id="88" w:name="_Toc86726442"/>
      <w:bookmarkStart w:id="89" w:name="_Toc110830495"/>
      <w:bookmarkStart w:id="90" w:name="_Toc118212953"/>
      <w:bookmarkStart w:id="91" w:name="_Toc84234437"/>
      <w:bookmarkStart w:id="92" w:name="_Toc120435786"/>
      <w:bookmarkStart w:id="93" w:name="_Toc86727358"/>
      <w:bookmarkStart w:id="94" w:name="_Toc108512361"/>
      <w:bookmarkStart w:id="95" w:name="_Toc119402713"/>
      <w:bookmarkStart w:id="96" w:name="_Toc84234390"/>
      <w:bookmarkStart w:id="97" w:name="_Toc110765663"/>
      <w:bookmarkStart w:id="98" w:name="_Toc84133788"/>
      <w:bookmarkStart w:id="99" w:name="_Toc86649725"/>
      <w:bookmarkStart w:id="100" w:name="_Toc110761799"/>
      <w:bookmarkStart w:id="101" w:name="_Toc86225294"/>
      <w:bookmarkStart w:id="102" w:name="_Toc86223245"/>
      <w:r>
        <w:rPr>
          <w:rFonts w:ascii="Times New Roman" w:hAnsiTheme="minorEastAsia" w:eastAsiaTheme="minorEastAsia"/>
          <w:sz w:val="21"/>
          <w:szCs w:val="21"/>
        </w:rPr>
        <w:br w:type="page"/>
      </w:r>
      <w:bookmarkStart w:id="103" w:name="_Toc348082035"/>
      <w:bookmarkStart w:id="104" w:name="_Toc126347215"/>
      <w:r>
        <w:rPr>
          <w:rFonts w:ascii="Times New Roman" w:hAnsiTheme="minorEastAsia" w:eastAsiaTheme="minorEastAsia"/>
          <w:sz w:val="21"/>
          <w:szCs w:val="21"/>
        </w:rPr>
        <w:t>七、交易及清算交收安排</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ind w:firstLine="420"/>
      </w:pPr>
      <w:r>
        <w:rPr>
          <w:rFonts w:hAnsiTheme="minorEastAsia" w:eastAsiaTheme="minorEastAsia"/>
        </w:rPr>
        <w:t>（一）选择代理证券买卖的</w:t>
      </w:r>
      <w:bookmarkStart w:id="105" w:name="OLE_LINK11"/>
      <w:r>
        <w:rPr>
          <w:rFonts w:hAnsiTheme="minorEastAsia" w:eastAsiaTheme="minorEastAsia"/>
        </w:rPr>
        <w:t>证券</w:t>
      </w:r>
      <w:r>
        <w:rPr>
          <w:rFonts w:hint="eastAsia" w:hAnsiTheme="minorEastAsia" w:eastAsiaTheme="minorEastAsia"/>
        </w:rPr>
        <w:t>经纪</w:t>
      </w:r>
      <w:r>
        <w:rPr>
          <w:rFonts w:hAnsiTheme="minorEastAsia" w:eastAsiaTheme="minorEastAsia"/>
        </w:rPr>
        <w:t>机构</w:t>
      </w:r>
      <w:bookmarkEnd w:id="105"/>
    </w:p>
    <w:p>
      <w:pPr>
        <w:ind w:firstLine="420"/>
        <w:rPr>
          <w:rFonts w:hint="eastAsia" w:hAnsiTheme="minorEastAsia" w:eastAsiaTheme="minorEastAsia"/>
          <w:szCs w:val="21"/>
        </w:rPr>
      </w:pPr>
      <w:r>
        <w:rPr>
          <w:rFonts w:hint="eastAsia" w:hAnsiTheme="minorEastAsia" w:eastAsiaTheme="minorEastAsia"/>
          <w:szCs w:val="21"/>
        </w:rPr>
        <w:t>基金管理人负责选择代理本基金证券买卖的证券经纪机构，由基金管理人与基金托管人及证券经纪机构签订本基金的证券经纪服务协议，用以具体明确三方在基金参与场内证券交易、资金结算等业务中的责任。证券经纪机构代理本基金与中国证券登记结算有限责任公司完成证券交易及非交易涉及的证券资金结算业务，并承担由证券经纪机构原因造成的正常结算、交收业务无法完成的责任。</w:t>
      </w:r>
    </w:p>
    <w:p>
      <w:pPr>
        <w:ind w:firstLine="420"/>
        <w:rPr>
          <w:szCs w:val="21"/>
        </w:rPr>
      </w:pPr>
      <w:r>
        <w:rPr>
          <w:rFonts w:hAnsiTheme="minorEastAsia" w:eastAsiaTheme="minorEastAsia"/>
          <w:szCs w:val="21"/>
        </w:rPr>
        <w:t>基金管理人应根据有关规定，在基金的中期报告和年度报告中将所选证券</w:t>
      </w:r>
      <w:r>
        <w:rPr>
          <w:rFonts w:hint="eastAsia" w:hAnsiTheme="minorEastAsia" w:eastAsiaTheme="minorEastAsia"/>
          <w:szCs w:val="21"/>
        </w:rPr>
        <w:t>经纪</w:t>
      </w:r>
      <w:r>
        <w:rPr>
          <w:rFonts w:hAnsiTheme="minorEastAsia" w:eastAsiaTheme="minorEastAsia"/>
          <w:szCs w:val="21"/>
        </w:rPr>
        <w:t>机构的有关情况、基金通过该证券</w:t>
      </w:r>
      <w:r>
        <w:rPr>
          <w:rFonts w:hint="eastAsia" w:hAnsiTheme="minorEastAsia" w:eastAsiaTheme="minorEastAsia"/>
          <w:szCs w:val="21"/>
        </w:rPr>
        <w:t>经纪</w:t>
      </w:r>
      <w:r>
        <w:rPr>
          <w:rFonts w:hAnsiTheme="minorEastAsia" w:eastAsiaTheme="minorEastAsia"/>
          <w:szCs w:val="21"/>
        </w:rPr>
        <w:t>机构买卖证券的成交量、回购成交量和支付的佣金等予以披露，并将该等情况及基金交易单元号、佣金费率等基本信息以及变更情况及时以书面形式通知基金托管人。</w:t>
      </w:r>
    </w:p>
    <w:p>
      <w:pPr>
        <w:ind w:firstLine="420"/>
      </w:pPr>
      <w:r>
        <w:rPr>
          <w:rFonts w:hAnsiTheme="minorEastAsia" w:eastAsiaTheme="minorEastAsia"/>
        </w:rPr>
        <w:t>（二）基金投资证券后的清算交收安排</w:t>
      </w:r>
    </w:p>
    <w:p>
      <w:pPr>
        <w:ind w:firstLine="420"/>
        <w:rPr>
          <w:color w:val="000000"/>
        </w:rPr>
      </w:pPr>
      <w:r>
        <w:rPr>
          <w:rFonts w:hint="eastAsia" w:hAnsiTheme="minorEastAsia" w:eastAsiaTheme="minorEastAsia"/>
          <w:color w:val="000000"/>
        </w:rPr>
        <w:t>1、清算与交割</w:t>
      </w:r>
    </w:p>
    <w:p>
      <w:pPr>
        <w:ind w:firstLine="420"/>
      </w:pPr>
      <w:r>
        <w:rPr>
          <w:rFonts w:hAnsiTheme="minorEastAsia" w:eastAsiaTheme="minorEastAsia"/>
          <w:color w:val="000000"/>
        </w:rPr>
        <w:t>1.1</w:t>
      </w:r>
      <w:r>
        <w:rPr>
          <w:rFonts w:hint="eastAsia" w:hAnsiTheme="minorEastAsia" w:eastAsiaTheme="minorEastAsia"/>
          <w:color w:val="000000"/>
        </w:rPr>
        <w:t>基金投资证券后的清算交收安排</w:t>
      </w:r>
      <w:r>
        <w:rPr>
          <w:rFonts w:hAnsiTheme="minorEastAsia" w:eastAsiaTheme="minorEastAsia"/>
          <w:color w:val="000000"/>
        </w:rPr>
        <w:t xml:space="preserve"> </w:t>
      </w:r>
    </w:p>
    <w:p>
      <w:pPr>
        <w:pStyle w:val="17"/>
        <w:spacing w:before="157" w:line="364" w:lineRule="auto"/>
        <w:ind w:right="235" w:firstLine="479"/>
        <w:rPr>
          <w:rFonts w:ascii="Times New Roman" w:eastAsia="宋体"/>
          <w:color w:val="auto"/>
          <w:sz w:val="21"/>
          <w:szCs w:val="21"/>
        </w:rPr>
      </w:pPr>
      <w:r>
        <w:rPr>
          <w:rFonts w:hint="eastAsia" w:ascii="Times New Roman" w:hAnsiTheme="minorEastAsia" w:eastAsiaTheme="minorEastAsia"/>
          <w:color w:val="auto"/>
          <w:sz w:val="21"/>
          <w:szCs w:val="21"/>
        </w:rPr>
        <w:t>基金投资于证券发生的所有场外交易的清算交割，由基金托管人负责办理；</w:t>
      </w:r>
      <w:r>
        <w:rPr>
          <w:rFonts w:ascii="Times New Roman" w:hAnsiTheme="minorEastAsia" w:eastAsiaTheme="minorEastAsia"/>
          <w:color w:val="auto"/>
          <w:sz w:val="21"/>
          <w:szCs w:val="21"/>
        </w:rPr>
        <w:t xml:space="preserve"> </w:t>
      </w:r>
      <w:r>
        <w:rPr>
          <w:rFonts w:hint="eastAsia" w:ascii="Times New Roman" w:hAnsiTheme="minorEastAsia" w:eastAsiaTheme="minorEastAsia"/>
          <w:color w:val="auto"/>
          <w:sz w:val="21"/>
          <w:szCs w:val="21"/>
        </w:rPr>
        <w:t>基金投资于证券发生的所有场内交易的清算交割，由基金管理人负责委托代理证券买卖的证券经纪机构根据相关登记结算公司的结算规则办理。</w:t>
      </w:r>
      <w:r>
        <w:rPr>
          <w:rFonts w:ascii="Times New Roman" w:hAnsiTheme="minorEastAsia" w:eastAsiaTheme="minorEastAsia"/>
          <w:color w:val="auto"/>
          <w:sz w:val="21"/>
          <w:szCs w:val="21"/>
        </w:rPr>
        <w:t xml:space="preserve"> </w:t>
      </w:r>
    </w:p>
    <w:p>
      <w:pPr>
        <w:pStyle w:val="17"/>
        <w:spacing w:line="364" w:lineRule="auto"/>
        <w:ind w:right="246" w:firstLine="479"/>
        <w:rPr>
          <w:rFonts w:ascii="Times New Roman" w:eastAsia="宋体"/>
          <w:color w:val="auto"/>
          <w:sz w:val="21"/>
          <w:szCs w:val="21"/>
        </w:rPr>
      </w:pPr>
      <w:r>
        <w:rPr>
          <w:rFonts w:hint="eastAsia" w:ascii="Times New Roman" w:hAnsiTheme="minorEastAsia" w:eastAsiaTheme="minorEastAsia"/>
          <w:color w:val="auto"/>
          <w:sz w:val="21"/>
          <w:szCs w:val="21"/>
        </w:rPr>
        <w:t>基金托管人负责基金场外买卖证券的清算交收，场外资金汇划由基金托管人根据基金管理人的场外交易划款指令具体办理。</w:t>
      </w:r>
      <w:r>
        <w:rPr>
          <w:rFonts w:ascii="Times New Roman" w:hAnsiTheme="minorEastAsia" w:eastAsiaTheme="minorEastAsia"/>
          <w:color w:val="auto"/>
          <w:sz w:val="21"/>
          <w:szCs w:val="21"/>
        </w:rPr>
        <w:t xml:space="preserve"> </w:t>
      </w:r>
    </w:p>
    <w:p>
      <w:pPr>
        <w:pStyle w:val="17"/>
        <w:spacing w:line="364" w:lineRule="auto"/>
        <w:ind w:right="238" w:firstLine="479"/>
        <w:rPr>
          <w:rFonts w:ascii="Times New Roman" w:eastAsia="宋体"/>
          <w:color w:val="auto"/>
          <w:sz w:val="21"/>
          <w:szCs w:val="21"/>
        </w:rPr>
      </w:pPr>
      <w:r>
        <w:rPr>
          <w:rFonts w:hint="eastAsia" w:ascii="Times New Roman" w:hAnsiTheme="minorEastAsia" w:eastAsiaTheme="minorEastAsia"/>
          <w:color w:val="auto"/>
          <w:sz w:val="21"/>
          <w:szCs w:val="21"/>
        </w:rPr>
        <w:t>如果因为基金托管人故意或过失在清算上造成基金财产的直接损失，应由基金托管人负责赔偿；</w:t>
      </w:r>
      <w:r>
        <w:rPr>
          <w:rFonts w:ascii="Times New Roman" w:hAnsiTheme="minorEastAsia" w:eastAsiaTheme="minorEastAsia"/>
          <w:color w:val="auto"/>
          <w:sz w:val="21"/>
          <w:szCs w:val="21"/>
        </w:rPr>
        <w:t xml:space="preserve"> </w:t>
      </w:r>
    </w:p>
    <w:p>
      <w:pPr>
        <w:pStyle w:val="17"/>
        <w:spacing w:line="362" w:lineRule="auto"/>
        <w:ind w:right="246" w:firstLine="479"/>
        <w:rPr>
          <w:rFonts w:ascii="Times New Roman" w:eastAsia="宋体"/>
          <w:color w:val="auto"/>
          <w:sz w:val="21"/>
          <w:szCs w:val="21"/>
        </w:rPr>
      </w:pPr>
      <w:r>
        <w:rPr>
          <w:rFonts w:hint="eastAsia" w:ascii="Times New Roman" w:hAnsiTheme="minorEastAsia" w:eastAsiaTheme="minorEastAsia"/>
          <w:color w:val="auto"/>
          <w:sz w:val="21"/>
          <w:szCs w:val="21"/>
        </w:rPr>
        <w:t>基金管理人应采取合理、必要措施，确保有足够的资金头寸完成投资交易资金结算。</w:t>
      </w:r>
      <w:r>
        <w:rPr>
          <w:rFonts w:ascii="Times New Roman" w:hAnsiTheme="minorEastAsia" w:eastAsiaTheme="minorEastAsia"/>
          <w:color w:val="auto"/>
          <w:sz w:val="21"/>
          <w:szCs w:val="21"/>
        </w:rPr>
        <w:t xml:space="preserve"> </w:t>
      </w:r>
    </w:p>
    <w:p>
      <w:pPr>
        <w:ind w:firstLine="420"/>
      </w:pPr>
      <w:r>
        <w:rPr>
          <w:rFonts w:hAnsiTheme="minorEastAsia" w:eastAsiaTheme="minorEastAsia"/>
          <w:color w:val="000000"/>
        </w:rPr>
        <w:t>1.2</w:t>
      </w:r>
      <w:r>
        <w:rPr>
          <w:rFonts w:hint="eastAsia" w:hAnsiTheme="minorEastAsia" w:eastAsiaTheme="minorEastAsia"/>
          <w:color w:val="000000"/>
        </w:rPr>
        <w:t>银行间债券交易的清算交收安排</w:t>
      </w:r>
    </w:p>
    <w:p>
      <w:pPr>
        <w:pStyle w:val="17"/>
        <w:spacing w:before="157" w:line="364" w:lineRule="auto"/>
        <w:ind w:right="235" w:firstLine="479"/>
        <w:rPr>
          <w:rFonts w:ascii="Times New Roman" w:eastAsia="宋体"/>
          <w:color w:val="auto"/>
          <w:sz w:val="21"/>
          <w:szCs w:val="21"/>
        </w:rPr>
      </w:pPr>
      <w:r>
        <w:rPr>
          <w:rFonts w:ascii="Times New Roman" w:hAnsiTheme="minorEastAsia" w:eastAsiaTheme="minorEastAsia"/>
          <w:color w:val="auto"/>
          <w:sz w:val="21"/>
          <w:szCs w:val="21"/>
        </w:rPr>
        <w:t>1.2.1</w:t>
      </w:r>
      <w:r>
        <w:rPr>
          <w:rFonts w:hint="eastAsia" w:ascii="Times New Roman" w:hAnsiTheme="minorEastAsia" w:eastAsiaTheme="minorEastAsia"/>
          <w:color w:val="auto"/>
          <w:sz w:val="21"/>
          <w:szCs w:val="21"/>
        </w:rPr>
        <w:t>基金管理人负责对交易对手的资信控制，按银行间债券市场的交易规则进行交易，并负责处理因交易对手不履行合同或不及时履行合同而造成的纠纷及损失，基金托管人不承担由此造成的任何法律责任及损失。</w:t>
      </w:r>
      <w:r>
        <w:rPr>
          <w:rFonts w:ascii="Times New Roman" w:hAnsiTheme="minorEastAsia" w:eastAsiaTheme="minorEastAsia"/>
          <w:color w:val="auto"/>
          <w:sz w:val="21"/>
          <w:szCs w:val="21"/>
        </w:rPr>
        <w:t xml:space="preserve"> </w:t>
      </w:r>
    </w:p>
    <w:p>
      <w:pPr>
        <w:pStyle w:val="17"/>
        <w:spacing w:before="157" w:line="364" w:lineRule="auto"/>
        <w:ind w:right="235" w:firstLine="479"/>
        <w:rPr>
          <w:rFonts w:ascii="Times New Roman" w:eastAsia="宋体"/>
          <w:color w:val="auto"/>
          <w:sz w:val="21"/>
          <w:szCs w:val="21"/>
        </w:rPr>
      </w:pPr>
      <w:r>
        <w:rPr>
          <w:rFonts w:ascii="Times New Roman" w:hAnsiTheme="minorEastAsia" w:eastAsiaTheme="minorEastAsia"/>
          <w:color w:val="auto"/>
          <w:sz w:val="21"/>
          <w:szCs w:val="21"/>
        </w:rPr>
        <w:t>1.2.2</w:t>
      </w:r>
      <w:r>
        <w:rPr>
          <w:rFonts w:hint="eastAsia" w:ascii="Times New Roman" w:hAnsiTheme="minorEastAsia" w:eastAsiaTheme="minorEastAsia"/>
          <w:color w:val="auto"/>
          <w:sz w:val="21"/>
          <w:szCs w:val="21"/>
        </w:rPr>
        <w:t>基金管理人应在交易结束后将银行间同业市场债券交易成交单加盖预留印鉴后及时传真给基金托管人，并电话确认。如果银行间中债综合业务平台或上海清算所客户终端系统已经生成的交易需要取消或终止，基金管理人要书面通知基金托管人。</w:t>
      </w:r>
      <w:r>
        <w:rPr>
          <w:rFonts w:ascii="Times New Roman" w:hAnsiTheme="minorEastAsia" w:eastAsiaTheme="minorEastAsia"/>
          <w:color w:val="auto"/>
          <w:sz w:val="21"/>
          <w:szCs w:val="21"/>
        </w:rPr>
        <w:t xml:space="preserve"> </w:t>
      </w:r>
    </w:p>
    <w:p>
      <w:pPr>
        <w:pStyle w:val="17"/>
        <w:spacing w:before="157" w:line="364" w:lineRule="auto"/>
        <w:ind w:right="235" w:firstLine="479"/>
        <w:rPr>
          <w:rFonts w:ascii="Times New Roman" w:eastAsia="宋体"/>
          <w:color w:val="auto"/>
          <w:sz w:val="21"/>
          <w:szCs w:val="21"/>
        </w:rPr>
      </w:pPr>
      <w:r>
        <w:rPr>
          <w:rFonts w:ascii="Times New Roman" w:hAnsiTheme="minorEastAsia" w:eastAsiaTheme="minorEastAsia"/>
          <w:color w:val="auto"/>
          <w:sz w:val="21"/>
          <w:szCs w:val="21"/>
        </w:rPr>
        <w:t>1.2.3</w:t>
      </w:r>
      <w:r>
        <w:rPr>
          <w:rFonts w:hint="eastAsia" w:ascii="Times New Roman" w:hAnsiTheme="minorEastAsia" w:eastAsiaTheme="minorEastAsia"/>
          <w:color w:val="auto"/>
          <w:sz w:val="21"/>
          <w:szCs w:val="21"/>
        </w:rPr>
        <w:t>基金管理人发送有效指令（包括原指令被撤销、变更后再次发送的新指令）</w:t>
      </w:r>
      <w:r>
        <w:rPr>
          <w:rFonts w:ascii="Times New Roman" w:hAnsiTheme="minorEastAsia" w:eastAsiaTheme="minorEastAsia"/>
          <w:color w:val="auto"/>
          <w:sz w:val="21"/>
          <w:szCs w:val="21"/>
        </w:rPr>
        <w:t xml:space="preserve"> </w:t>
      </w:r>
      <w:r>
        <w:rPr>
          <w:rFonts w:hint="eastAsia" w:ascii="Times New Roman" w:hAnsiTheme="minorEastAsia" w:eastAsiaTheme="minorEastAsia"/>
          <w:color w:val="auto"/>
          <w:sz w:val="21"/>
          <w:szCs w:val="21"/>
        </w:rPr>
        <w:t>的截止时间为当天的</w:t>
      </w:r>
      <w:r>
        <w:rPr>
          <w:rFonts w:ascii="Times New Roman" w:hAnsiTheme="minorEastAsia" w:eastAsiaTheme="minorEastAsia"/>
          <w:color w:val="auto"/>
          <w:sz w:val="21"/>
          <w:szCs w:val="21"/>
        </w:rPr>
        <w:t xml:space="preserve"> 15:00</w:t>
      </w:r>
      <w:r>
        <w:rPr>
          <w:rFonts w:hint="eastAsia" w:ascii="Times New Roman" w:hAnsiTheme="minorEastAsia" w:eastAsiaTheme="minorEastAsia"/>
          <w:color w:val="auto"/>
          <w:sz w:val="21"/>
          <w:szCs w:val="21"/>
        </w:rPr>
        <w:t>。如基金管理人要求当天某一时点到账，则交易结算指令需提前</w:t>
      </w:r>
      <w:r>
        <w:rPr>
          <w:rFonts w:ascii="Times New Roman" w:hAnsiTheme="minorEastAsia" w:eastAsiaTheme="minorEastAsia"/>
          <w:color w:val="auto"/>
          <w:sz w:val="21"/>
          <w:szCs w:val="21"/>
        </w:rPr>
        <w:t xml:space="preserve"> 2 </w:t>
      </w:r>
      <w:r>
        <w:rPr>
          <w:rFonts w:hint="eastAsia" w:ascii="Times New Roman" w:hAnsiTheme="minorEastAsia" w:eastAsiaTheme="minorEastAsia"/>
          <w:color w:val="auto"/>
          <w:sz w:val="21"/>
          <w:szCs w:val="21"/>
        </w:rPr>
        <w:t>个工作小时发送，并进行电话确认。指令、成交单传输不及时、未能留出足够的操作时间，致使资金未能及时到账、债券未能及时交割所造成的损失不由基金托管人承担。</w:t>
      </w:r>
      <w:r>
        <w:rPr>
          <w:rFonts w:ascii="Times New Roman" w:hAnsiTheme="minorEastAsia" w:eastAsiaTheme="minorEastAsia"/>
          <w:color w:val="auto"/>
          <w:sz w:val="21"/>
          <w:szCs w:val="21"/>
        </w:rPr>
        <w:t xml:space="preserve"> </w:t>
      </w:r>
    </w:p>
    <w:p>
      <w:pPr>
        <w:pStyle w:val="17"/>
        <w:spacing w:before="157" w:line="364" w:lineRule="auto"/>
        <w:ind w:right="235" w:firstLine="479"/>
        <w:rPr>
          <w:rFonts w:ascii="Times New Roman" w:eastAsia="宋体"/>
          <w:color w:val="auto"/>
          <w:sz w:val="21"/>
          <w:szCs w:val="21"/>
        </w:rPr>
      </w:pPr>
      <w:r>
        <w:rPr>
          <w:rFonts w:ascii="Times New Roman" w:hAnsiTheme="minorEastAsia" w:eastAsiaTheme="minorEastAsia"/>
          <w:color w:val="auto"/>
          <w:sz w:val="21"/>
          <w:szCs w:val="21"/>
        </w:rPr>
        <w:t>1.2.4</w:t>
      </w:r>
      <w:r>
        <w:rPr>
          <w:rFonts w:hint="eastAsia" w:ascii="Times New Roman" w:hAnsiTheme="minorEastAsia" w:eastAsiaTheme="minorEastAsia"/>
          <w:color w:val="auto"/>
          <w:sz w:val="21"/>
          <w:szCs w:val="21"/>
        </w:rPr>
        <w:t>基金管理人向基金托管人下达指令时，应确保基金财产托管账户有足够的资金余额，对基金管理人在没有充足资金的情况下向基金托管人发出的指令，基金托管人可不予执行，并立即通知基金管理人，基金托管人不承担因为不执行该指令而造成损失的责任。基金管理人确认该指令不予取消的，资金备足并通知基金托管人的时间视为指令收到时间。</w:t>
      </w:r>
      <w:r>
        <w:rPr>
          <w:rFonts w:ascii="Times New Roman" w:hAnsiTheme="minorEastAsia" w:eastAsiaTheme="minorEastAsia"/>
          <w:color w:val="auto"/>
          <w:sz w:val="21"/>
          <w:szCs w:val="21"/>
        </w:rPr>
        <w:t xml:space="preserve"> </w:t>
      </w:r>
    </w:p>
    <w:p>
      <w:pPr>
        <w:pStyle w:val="17"/>
        <w:spacing w:before="157" w:line="364" w:lineRule="auto"/>
        <w:ind w:right="235" w:firstLine="479"/>
        <w:rPr>
          <w:rFonts w:ascii="Times New Roman" w:eastAsia="宋体"/>
          <w:color w:val="auto"/>
          <w:sz w:val="21"/>
          <w:szCs w:val="21"/>
        </w:rPr>
      </w:pPr>
      <w:r>
        <w:rPr>
          <w:rFonts w:ascii="Times New Roman" w:hAnsiTheme="minorEastAsia" w:eastAsiaTheme="minorEastAsia"/>
          <w:color w:val="auto"/>
          <w:sz w:val="21"/>
          <w:szCs w:val="21"/>
        </w:rPr>
        <w:t>1.2.5</w:t>
      </w:r>
      <w:r>
        <w:rPr>
          <w:rFonts w:hint="eastAsia" w:ascii="Times New Roman" w:hAnsiTheme="minorEastAsia" w:eastAsiaTheme="minorEastAsia"/>
          <w:color w:val="auto"/>
          <w:sz w:val="21"/>
          <w:szCs w:val="21"/>
        </w:rPr>
        <w:t>银行间交易结算方式采用券款对付的，托管账户与该产品在登记结算机构开立的</w:t>
      </w:r>
      <w:r>
        <w:rPr>
          <w:rFonts w:ascii="Times New Roman" w:hAnsiTheme="minorEastAsia" w:eastAsiaTheme="minorEastAsia"/>
          <w:color w:val="auto"/>
          <w:sz w:val="21"/>
          <w:szCs w:val="21"/>
        </w:rPr>
        <w:t xml:space="preserve"> DVP </w:t>
      </w:r>
      <w:r>
        <w:rPr>
          <w:rFonts w:hint="eastAsia" w:ascii="Times New Roman" w:hAnsiTheme="minorEastAsia" w:eastAsiaTheme="minorEastAsia"/>
          <w:color w:val="auto"/>
          <w:sz w:val="21"/>
          <w:szCs w:val="21"/>
        </w:rPr>
        <w:t>资金账户之间的资金调拨，除了登记结算机构系统自动将</w:t>
      </w:r>
      <w:r>
        <w:rPr>
          <w:rFonts w:ascii="Times New Roman" w:hAnsiTheme="minorEastAsia" w:eastAsiaTheme="minorEastAsia"/>
          <w:color w:val="auto"/>
          <w:sz w:val="21"/>
          <w:szCs w:val="21"/>
        </w:rPr>
        <w:t xml:space="preserve"> DVP </w:t>
      </w:r>
      <w:r>
        <w:rPr>
          <w:rFonts w:hint="eastAsia" w:ascii="Times New Roman" w:hAnsiTheme="minorEastAsia" w:eastAsiaTheme="minorEastAsia"/>
          <w:color w:val="auto"/>
          <w:sz w:val="21"/>
          <w:szCs w:val="21"/>
        </w:rPr>
        <w:t>资金账户资金退回至托管账户的之外，应当由基金管理人出具资金划款指令，基金托管人审核无误后执行。由于基金管理人未及时出具指令导致本基金在托管账户的头寸不足或者</w:t>
      </w:r>
      <w:r>
        <w:rPr>
          <w:rFonts w:ascii="Times New Roman" w:hAnsiTheme="minorEastAsia" w:eastAsiaTheme="minorEastAsia"/>
          <w:color w:val="auto"/>
          <w:sz w:val="21"/>
          <w:szCs w:val="21"/>
        </w:rPr>
        <w:t xml:space="preserve"> DVP </w:t>
      </w:r>
      <w:r>
        <w:rPr>
          <w:rFonts w:hint="eastAsia" w:ascii="Times New Roman" w:hAnsiTheme="minorEastAsia" w:eastAsiaTheme="minorEastAsia"/>
          <w:color w:val="auto"/>
          <w:sz w:val="21"/>
          <w:szCs w:val="21"/>
        </w:rPr>
        <w:t>资金账户头寸不足导致的损失，基金托管人不承担责任。</w:t>
      </w:r>
      <w:r>
        <w:rPr>
          <w:rFonts w:ascii="Times New Roman" w:hAnsiTheme="minorEastAsia" w:eastAsiaTheme="minorEastAsia"/>
          <w:color w:val="auto"/>
          <w:sz w:val="21"/>
          <w:szCs w:val="21"/>
        </w:rPr>
        <w:t xml:space="preserve"> </w:t>
      </w:r>
    </w:p>
    <w:p>
      <w:pPr>
        <w:ind w:firstLine="420"/>
      </w:pPr>
      <w:r>
        <w:rPr>
          <w:rFonts w:hAnsiTheme="minorEastAsia" w:eastAsiaTheme="minorEastAsia"/>
          <w:color w:val="000000"/>
        </w:rPr>
        <w:t>1.3</w:t>
      </w:r>
      <w:r>
        <w:rPr>
          <w:rFonts w:hint="eastAsia" w:hAnsiTheme="minorEastAsia" w:eastAsiaTheme="minorEastAsia"/>
          <w:color w:val="000000"/>
        </w:rPr>
        <w:t>国债期货的清算交收安排</w:t>
      </w:r>
      <w:r>
        <w:rPr>
          <w:rFonts w:hAnsiTheme="minorEastAsia" w:eastAsiaTheme="minorEastAsia"/>
          <w:color w:val="000000"/>
        </w:rPr>
        <w:t xml:space="preserve"> </w:t>
      </w:r>
    </w:p>
    <w:p>
      <w:pPr>
        <w:pStyle w:val="17"/>
        <w:spacing w:before="157" w:line="364" w:lineRule="auto"/>
        <w:ind w:right="235" w:firstLine="479"/>
        <w:rPr>
          <w:rFonts w:ascii="Times New Roman" w:eastAsia="宋体"/>
          <w:color w:val="auto"/>
          <w:sz w:val="21"/>
          <w:szCs w:val="21"/>
        </w:rPr>
      </w:pPr>
      <w:r>
        <w:rPr>
          <w:rFonts w:hint="eastAsia" w:ascii="Times New Roman" w:hAnsiTheme="minorEastAsia" w:eastAsiaTheme="minorEastAsia"/>
          <w:color w:val="auto"/>
          <w:sz w:val="21"/>
          <w:szCs w:val="21"/>
        </w:rPr>
        <w:t>本基金相关期货投资的具体操作按照《期货投资操作备忘录》的约定执行。本基金在进行国债期货实物交割前，基金管理人须事先与基金托管人就国债期货实物交割的具体运营操作达成一致意见。</w:t>
      </w:r>
    </w:p>
    <w:p>
      <w:pPr>
        <w:ind w:firstLine="420"/>
        <w:rPr>
          <w:color w:val="000000"/>
        </w:rPr>
      </w:pPr>
      <w:r>
        <w:rPr>
          <w:rFonts w:hint="eastAsia" w:hAnsiTheme="minorEastAsia" w:eastAsiaTheme="minorEastAsia"/>
          <w:color w:val="000000"/>
        </w:rPr>
        <w:t>2、交易记录、资金和证券账目核对的时间和方式</w:t>
      </w:r>
    </w:p>
    <w:p>
      <w:pPr>
        <w:ind w:firstLine="420"/>
        <w:rPr>
          <w:color w:val="000000"/>
        </w:rPr>
      </w:pPr>
      <w:r>
        <w:rPr>
          <w:rFonts w:hint="eastAsia" w:hAnsiTheme="minorEastAsia" w:eastAsiaTheme="minorEastAsia"/>
          <w:color w:val="000000"/>
        </w:rPr>
        <w:t>（1）交易记录的核对</w:t>
      </w:r>
    </w:p>
    <w:p>
      <w:pPr>
        <w:ind w:firstLine="420"/>
        <w:rPr>
          <w:color w:val="000000"/>
        </w:rPr>
      </w:pPr>
      <w:r>
        <w:rPr>
          <w:rFonts w:hint="eastAsia" w:hAnsiTheme="minorEastAsia" w:eastAsiaTheme="minorEastAsia"/>
          <w:color w:val="000000"/>
        </w:rPr>
        <w:t>基金管理人、基金托管人按日进行交易记录的核对。对外披露净值之前，必须保证当天所有实际交易记录与基金会计账簿中的交易记录完全一致。</w:t>
      </w:r>
    </w:p>
    <w:p>
      <w:pPr>
        <w:ind w:firstLine="420"/>
        <w:rPr>
          <w:color w:val="000000"/>
        </w:rPr>
      </w:pPr>
      <w:r>
        <w:rPr>
          <w:rFonts w:hint="eastAsia" w:hAnsiTheme="minorEastAsia" w:eastAsiaTheme="minorEastAsia"/>
          <w:color w:val="000000"/>
        </w:rPr>
        <w:t>（2）资金账目的核对</w:t>
      </w:r>
    </w:p>
    <w:p>
      <w:pPr>
        <w:ind w:firstLine="420"/>
        <w:rPr>
          <w:color w:val="000000"/>
        </w:rPr>
      </w:pPr>
      <w:r>
        <w:rPr>
          <w:rFonts w:hint="eastAsia" w:hAnsiTheme="minorEastAsia" w:eastAsiaTheme="minorEastAsia"/>
          <w:color w:val="000000"/>
        </w:rPr>
        <w:t>资金账目由基金管理人和基金托管人按日核实，账实相符。</w:t>
      </w:r>
    </w:p>
    <w:p>
      <w:pPr>
        <w:ind w:firstLine="420"/>
        <w:rPr>
          <w:color w:val="000000"/>
        </w:rPr>
      </w:pPr>
      <w:r>
        <w:rPr>
          <w:rFonts w:hint="eastAsia" w:hAnsiTheme="minorEastAsia" w:eastAsiaTheme="minorEastAsia"/>
          <w:color w:val="000000"/>
        </w:rPr>
        <w:t>（3）证券账目的核对</w:t>
      </w:r>
    </w:p>
    <w:p>
      <w:pPr>
        <w:ind w:firstLine="420"/>
        <w:rPr>
          <w:color w:val="000000"/>
        </w:rPr>
      </w:pPr>
      <w:r>
        <w:rPr>
          <w:rFonts w:hint="eastAsia" w:hAnsiTheme="minorEastAsia" w:eastAsiaTheme="minorEastAsia"/>
          <w:color w:val="000000"/>
        </w:rPr>
        <w:t>基金管理人和基金托管人每交易日结束后核对基金证券账目，确保双方账目相符。基金管理人、基金托管人应按时核对交易所证券账户中的种类和数量，确保每日交易结束后证券账户中证券的种类和数量与基金会计账簿中的记载一致。</w:t>
      </w:r>
    </w:p>
    <w:p>
      <w:pPr>
        <w:ind w:firstLine="420"/>
      </w:pPr>
      <w:r>
        <w:rPr>
          <w:rFonts w:hint="eastAsia" w:hAnsiTheme="minorEastAsia" w:eastAsiaTheme="minorEastAsia"/>
          <w:color w:val="000000"/>
        </w:rPr>
        <w:t>对于资金账目及证券账目，若基金管理人与基金托管人核对不一致，双方应积极查找原因并纠正。</w:t>
      </w:r>
    </w:p>
    <w:p>
      <w:pPr>
        <w:ind w:firstLine="420"/>
      </w:pPr>
      <w:r>
        <w:rPr>
          <w:rFonts w:hAnsiTheme="minorEastAsia" w:eastAsiaTheme="minorEastAsia"/>
        </w:rPr>
        <w:t>（三）基金申购、赎回和转换业务处理的基本规定</w:t>
      </w:r>
    </w:p>
    <w:p>
      <w:pPr>
        <w:ind w:firstLine="420"/>
      </w:pPr>
      <w:r>
        <w:rPr>
          <w:rFonts w:hAnsiTheme="minorEastAsia" w:eastAsiaTheme="minorEastAsia"/>
        </w:rPr>
        <w:t>1.基金份额申购、赎回、转换的确认、清算由基金管理人或其委托的登记机构负责。</w:t>
      </w:r>
    </w:p>
    <w:p>
      <w:pPr>
        <w:ind w:firstLine="420"/>
      </w:pPr>
      <w:r>
        <w:rPr>
          <w:rFonts w:hAnsiTheme="minorEastAsia" w:eastAsiaTheme="minorEastAsia"/>
        </w:rPr>
        <w:t>2.基金管理人应将每个开放日的申购、赎回、转换开放式基金的数据传送给基金托管人。基金管理人应对传递的申购、赎回、转换开放式基金的数据真实性和准确性负责。基金托管人应及时查收申购及转入资金的到账情况并根据基金管理人指令及时划付赎回及转出款项。</w:t>
      </w:r>
    </w:p>
    <w:p>
      <w:pPr>
        <w:ind w:firstLine="420"/>
      </w:pPr>
      <w:r>
        <w:rPr>
          <w:rFonts w:hAnsiTheme="minorEastAsia" w:eastAsiaTheme="minorEastAsia"/>
        </w:rPr>
        <w:t>3.基金管理人应保证本基金（或本基金管理人委托）的登记机构每个工作日15:00前向基金托管人发送前一开放日上述有关数据，并保证相关数据的准确、完整。</w:t>
      </w:r>
    </w:p>
    <w:p>
      <w:pPr>
        <w:ind w:firstLine="420"/>
      </w:pPr>
      <w:r>
        <w:rPr>
          <w:rFonts w:hAnsiTheme="minorEastAsia" w:eastAsiaTheme="minorEastAsia"/>
        </w:rPr>
        <w:t>4.登记机构应通过与基金管理人建立的系统发送有关数据，由基金管理人向基金托管人发送有关数据，如因各种原因，该系统无法正常发送，双方可协商解决处理方式。基金管理人向基金托管人发送的数据，双方各自按有关规定保存。</w:t>
      </w:r>
    </w:p>
    <w:p>
      <w:pPr>
        <w:ind w:firstLine="420"/>
      </w:pPr>
      <w:r>
        <w:rPr>
          <w:rFonts w:hAnsiTheme="minorEastAsia" w:eastAsiaTheme="minorEastAsia"/>
        </w:rPr>
        <w:t>5.如基金管理人委托其他机构办理本基金的注册登记业务，应保证上述相关事宜按时进行。否则，由基金管理人承担相应的责任。</w:t>
      </w:r>
    </w:p>
    <w:p>
      <w:pPr>
        <w:ind w:firstLine="420"/>
      </w:pPr>
      <w:r>
        <w:rPr>
          <w:rFonts w:hAnsiTheme="minorEastAsia" w:eastAsiaTheme="minorEastAsia"/>
        </w:rPr>
        <w:t>6.关于清算专用账户的设立和管理</w:t>
      </w:r>
    </w:p>
    <w:p>
      <w:pPr>
        <w:ind w:firstLine="420"/>
      </w:pPr>
      <w:r>
        <w:rPr>
          <w:rFonts w:hAnsiTheme="minorEastAsia" w:eastAsiaTheme="minorEastAsia"/>
        </w:rPr>
        <w:t>为满足申购、赎回、转换及分红资金汇划的需要，由基金管理人开立资金清算的专用账户，该账户由登记机构管理。</w:t>
      </w:r>
    </w:p>
    <w:p>
      <w:pPr>
        <w:ind w:firstLine="420"/>
      </w:pPr>
      <w:r>
        <w:rPr>
          <w:rFonts w:hAnsiTheme="minorEastAsia" w:eastAsiaTheme="minorEastAsia"/>
        </w:rPr>
        <w:t>7.对于基金申购、转换过程中产生的应收款，应由基金管理人负责与有关当事人确定到账日期并通知基金托管人，到账日应收款没有到达基金资金账户的，基金托管人应及时通知基金管理人采取措施进行催收，由此造成基金损失的，基金管理人应负责向有关当事人追偿基金的损失</w:t>
      </w:r>
      <w:r>
        <w:rPr>
          <w:rFonts w:hint="eastAsia" w:hAnsiTheme="minorEastAsia" w:eastAsiaTheme="minorEastAsia"/>
        </w:rPr>
        <w:t>，基金托管人应予以必要的协助与配合</w:t>
      </w:r>
      <w:r>
        <w:rPr>
          <w:rFonts w:hAnsiTheme="minorEastAsia" w:eastAsiaTheme="minorEastAsia"/>
        </w:rPr>
        <w:t>。</w:t>
      </w:r>
    </w:p>
    <w:p>
      <w:pPr>
        <w:ind w:firstLine="420"/>
      </w:pPr>
      <w:r>
        <w:rPr>
          <w:rFonts w:hAnsiTheme="minorEastAsia" w:eastAsiaTheme="minorEastAsia"/>
        </w:rPr>
        <w:t>8.赎回、转换资金划付规定</w:t>
      </w:r>
    </w:p>
    <w:p>
      <w:pPr>
        <w:ind w:firstLine="420"/>
      </w:pPr>
      <w:r>
        <w:rPr>
          <w:rFonts w:hAnsiTheme="minorEastAsia" w:eastAsiaTheme="minorEastAsia"/>
        </w:rPr>
        <w:t>划付赎回款、转换转出款时，如基金资金账户有足够的资金，基金托管人应按时划付；因基金资金账户没有足够的资金，导致基金托管人不能按时划付，</w:t>
      </w:r>
      <w:r>
        <w:rPr>
          <w:rFonts w:hint="eastAsia" w:ascii="宋体" w:cs="Arial" w:hAnsiTheme="minorEastAsia" w:eastAsiaTheme="minorEastAsia"/>
        </w:rPr>
        <w:t>基金托管人应及时通知基金管理人，</w:t>
      </w:r>
      <w:r>
        <w:rPr>
          <w:rFonts w:hAnsiTheme="minorEastAsia" w:eastAsiaTheme="minorEastAsia"/>
        </w:rPr>
        <w:t>基金托管人不承担</w:t>
      </w:r>
      <w:r>
        <w:rPr>
          <w:rFonts w:hint="eastAsia" w:hAnsiTheme="minorEastAsia" w:eastAsiaTheme="minorEastAsia"/>
        </w:rPr>
        <w:t>相应</w:t>
      </w:r>
      <w:r>
        <w:rPr>
          <w:rFonts w:hAnsiTheme="minorEastAsia" w:eastAsiaTheme="minorEastAsia"/>
        </w:rPr>
        <w:t>责任，</w:t>
      </w:r>
      <w:r>
        <w:rPr>
          <w:rFonts w:hint="eastAsia" w:hAnsiTheme="minorEastAsia" w:eastAsiaTheme="minorEastAsia"/>
        </w:rPr>
        <w:t>如系基金管理人的原因造成，</w:t>
      </w:r>
      <w:r>
        <w:rPr>
          <w:rFonts w:hAnsiTheme="minorEastAsia" w:eastAsiaTheme="minorEastAsia"/>
        </w:rPr>
        <w:t>责任由基金管理人承担，基金托管人不承担垫款义务</w:t>
      </w:r>
      <w:r>
        <w:rPr>
          <w:rFonts w:hint="eastAsia" w:hAnsiTheme="minorEastAsia" w:eastAsiaTheme="minorEastAsia"/>
        </w:rPr>
        <w:t>，但应及时通知基金管理人</w:t>
      </w:r>
      <w:r>
        <w:rPr>
          <w:rFonts w:hAnsiTheme="minorEastAsia" w:eastAsiaTheme="minorEastAsia"/>
        </w:rPr>
        <w:t>。</w:t>
      </w:r>
    </w:p>
    <w:p>
      <w:pPr>
        <w:ind w:firstLine="420"/>
      </w:pPr>
      <w:r>
        <w:rPr>
          <w:rFonts w:hAnsiTheme="minorEastAsia" w:eastAsiaTheme="minorEastAsia"/>
        </w:rPr>
        <w:t>9.资金指令</w:t>
      </w:r>
    </w:p>
    <w:p>
      <w:pPr>
        <w:ind w:firstLine="420"/>
      </w:pPr>
      <w:r>
        <w:rPr>
          <w:rFonts w:hAnsiTheme="minorEastAsia" w:eastAsiaTheme="minorEastAsia"/>
        </w:rPr>
        <w:t>除申购款项到达基金资金账户需双方按约定方式对账外，与投资有关的付款、赎回和分红资金划拨时，基金管理人需向基金托管人下达指令。</w:t>
      </w:r>
    </w:p>
    <w:p>
      <w:pPr>
        <w:ind w:firstLine="420"/>
      </w:pPr>
      <w:r>
        <w:rPr>
          <w:rFonts w:hAnsiTheme="minorEastAsia" w:eastAsiaTheme="minorEastAsia"/>
        </w:rPr>
        <w:t>资金指令的格式、内容、发送、接收和确认方式等与投资指令相同。</w:t>
      </w:r>
    </w:p>
    <w:p>
      <w:pPr>
        <w:ind w:firstLine="420"/>
      </w:pPr>
      <w:r>
        <w:rPr>
          <w:rFonts w:hAnsiTheme="minorEastAsia" w:eastAsiaTheme="minorEastAsia"/>
        </w:rPr>
        <w:t>（四）资金净额结算</w:t>
      </w:r>
    </w:p>
    <w:p>
      <w:pPr>
        <w:ind w:firstLine="420"/>
      </w:pPr>
      <w:r>
        <w:rPr>
          <w:rFonts w:hAnsiTheme="minorEastAsia" w:eastAsiaTheme="minorEastAsia"/>
        </w:rPr>
        <w:t>基金资金账户与“基金清算账户”间的资金结算遵循“全额清算、净额交收”的原则，每日按照资金账户应收资金与应付资金的差额来确定资金账户净应收额或净应付额，以此确定资金交收额，基金托管人应当为基金管理人提供适当方式，便于基金管理人进行查询和账务管理。当存在资金账户净应收额时，基金管理人应在交收日15:00时之前从基金清算账户划往基金资金账户，基金管理人通过基金托管人提供的方式查询结果；当存在资金账户净应付额时，基金托管人按照基金管理人的划款指令将托管账户净应付额在交收日及时划往基金清算账户，基金管理人通过基金托管人提供的方式查询结果。</w:t>
      </w:r>
    </w:p>
    <w:p>
      <w:pPr>
        <w:ind w:firstLine="420"/>
        <w:rPr>
          <w:i/>
        </w:rPr>
      </w:pPr>
      <w:r>
        <w:rPr>
          <w:rFonts w:hAnsiTheme="minorEastAsia" w:eastAsiaTheme="minorEastAsia"/>
        </w:rPr>
        <w:t>当存在资金账户净应付额时，如基金银行账户有足够的资金，基金托管人应按时划付；因基金资金账户没有足够的资金，导致基金托管人不能按时划付，基金托管人应及时通知基金管理人；如系基金管理人的原因造成，责任由基金管理人承担，基金托管人不承担垫款义务。</w:t>
      </w:r>
    </w:p>
    <w:p>
      <w:pPr>
        <w:ind w:firstLine="420"/>
      </w:pPr>
      <w:r>
        <w:rPr>
          <w:rFonts w:hAnsiTheme="minorEastAsia" w:eastAsiaTheme="minorEastAsia"/>
        </w:rPr>
        <w:t>（五）基金现金分红</w:t>
      </w:r>
    </w:p>
    <w:p>
      <w:pPr>
        <w:ind w:firstLine="420"/>
      </w:pPr>
      <w:r>
        <w:rPr>
          <w:rFonts w:hAnsiTheme="minorEastAsia" w:eastAsiaTheme="minorEastAsia"/>
        </w:rPr>
        <w:t>1.基金管理人确定分红方案通知基金托管人，双方核定后依照《信息披露办法》的有关规定在规定媒介上公告。</w:t>
      </w:r>
    </w:p>
    <w:p>
      <w:pPr>
        <w:ind w:firstLine="420"/>
      </w:pPr>
      <w:r>
        <w:rPr>
          <w:rFonts w:hAnsiTheme="minorEastAsia" w:eastAsiaTheme="minorEastAsia"/>
        </w:rPr>
        <w:t>2.基金托管人和基金管理人对基金分红进行账务处理并核对后，基金管理人向基金托管人发送现金红利的划款指令，基金托管人应根据指令及时将分红款划往</w:t>
      </w:r>
      <w:r>
        <w:rPr>
          <w:rFonts w:hint="eastAsia" w:hAnsiTheme="minorEastAsia" w:eastAsiaTheme="minorEastAsia"/>
        </w:rPr>
        <w:t>专用</w:t>
      </w:r>
      <w:r>
        <w:rPr>
          <w:rFonts w:hAnsiTheme="minorEastAsia" w:eastAsiaTheme="minorEastAsia"/>
        </w:rPr>
        <w:t>账户。</w:t>
      </w:r>
    </w:p>
    <w:p>
      <w:pPr>
        <w:ind w:firstLine="420"/>
      </w:pPr>
      <w:r>
        <w:rPr>
          <w:rFonts w:hAnsiTheme="minorEastAsia" w:eastAsiaTheme="minorEastAsia"/>
        </w:rPr>
        <w:t>3.基金管理人在下达指令时，应给基金托管人留出必需的划款时间。</w:t>
      </w:r>
    </w:p>
    <w:p>
      <w:pPr>
        <w:ind w:firstLine="420"/>
        <w:rPr>
          <w:szCs w:val="21"/>
        </w:rPr>
      </w:pP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06" w:name="_Toc348082036"/>
      <w:bookmarkStart w:id="107" w:name="_Toc126347216"/>
      <w:r>
        <w:rPr>
          <w:rFonts w:ascii="Times New Roman" w:hAnsiTheme="minorEastAsia" w:eastAsiaTheme="minorEastAsia"/>
          <w:sz w:val="21"/>
          <w:szCs w:val="21"/>
        </w:rPr>
        <w:t>八、基金资产净值计算、估值和会计核算</w:t>
      </w:r>
      <w:bookmarkEnd w:id="106"/>
      <w:bookmarkEnd w:id="107"/>
    </w:p>
    <w:p>
      <w:pPr>
        <w:ind w:firstLine="420"/>
      </w:pPr>
      <w:r>
        <w:rPr>
          <w:rFonts w:hAnsiTheme="minorEastAsia" w:eastAsiaTheme="minorEastAsia"/>
        </w:rPr>
        <w:t>（一）基金资产净值的计算、复核与完成的时间及程序</w:t>
      </w:r>
    </w:p>
    <w:p>
      <w:pPr>
        <w:ind w:firstLine="420"/>
      </w:pPr>
      <w:r>
        <w:rPr>
          <w:rFonts w:hAnsiTheme="minorEastAsia" w:eastAsiaTheme="minorEastAsia"/>
        </w:rPr>
        <w:t>1.基金资产净值</w:t>
      </w:r>
    </w:p>
    <w:p>
      <w:pPr>
        <w:ind w:firstLine="420"/>
      </w:pPr>
      <w:r>
        <w:rPr>
          <w:rFonts w:hint="eastAsia" w:hAnsiTheme="minorEastAsia" w:eastAsiaTheme="minorEastAsia"/>
        </w:rPr>
        <w:t>两类基金份额净值是按照每个工作日闭市后，各类基金资产净值除以当日该类基金份额的余额数量计算，A类和C类基金份额净值均精确到0.0001元，小数点后第5位四舍五入，由此产生的误差计入基金财产。基金管理人可以设立大额赎回情形下的净值精度应急调整机制。国家另有规定的，从其规定。</w:t>
      </w:r>
    </w:p>
    <w:p>
      <w:pPr>
        <w:ind w:firstLine="420"/>
      </w:pPr>
      <w:r>
        <w:rPr>
          <w:rFonts w:hint="eastAsia" w:hAnsiTheme="minorEastAsia" w:eastAsiaTheme="minorEastAsia"/>
        </w:rPr>
        <w:t>基金管理人每个工作日计算基金资产净值及两类基金份额净值，并按规定公告。</w:t>
      </w:r>
    </w:p>
    <w:p>
      <w:pPr>
        <w:ind w:firstLine="420"/>
      </w:pPr>
      <w:r>
        <w:rPr>
          <w:rFonts w:hAnsiTheme="minorEastAsia" w:eastAsiaTheme="minorEastAsia"/>
        </w:rPr>
        <w:t>2.复核程序</w:t>
      </w:r>
    </w:p>
    <w:p>
      <w:pPr>
        <w:ind w:firstLine="420"/>
      </w:pPr>
      <w:r>
        <w:rPr>
          <w:rFonts w:hint="eastAsia" w:hAnsiTheme="minorEastAsia" w:eastAsiaTheme="minorEastAsia"/>
        </w:rPr>
        <w:t>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规定对外公布。</w:t>
      </w:r>
    </w:p>
    <w:p>
      <w:pPr>
        <w:ind w:firstLine="420"/>
      </w:pPr>
      <w:r>
        <w:rPr>
          <w:rFonts w:hAnsiTheme="minorEastAsia" w:eastAsiaTheme="minorEastAsia"/>
        </w:rPr>
        <w:t>3.</w:t>
      </w:r>
      <w:r>
        <w:rPr>
          <w:rFonts w:hint="eastAsia" w:hAnsiTheme="minorEastAsia" w:eastAsiaTheme="minorEastAsia"/>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ind w:firstLine="420"/>
      </w:pPr>
      <w:r>
        <w:rPr>
          <w:rFonts w:hAnsiTheme="minorEastAsia" w:eastAsiaTheme="minorEastAsia"/>
        </w:rPr>
        <w:t>（二）基金资产的估值</w:t>
      </w:r>
    </w:p>
    <w:p>
      <w:pPr>
        <w:ind w:firstLine="420"/>
        <w:rPr>
          <w:rStyle w:val="211"/>
          <w:szCs w:val="21"/>
        </w:rPr>
      </w:pPr>
      <w:r>
        <w:rPr>
          <w:rFonts w:hAnsiTheme="minorEastAsia" w:eastAsiaTheme="minorEastAsia"/>
        </w:rPr>
        <w:t>基金管理人及基金托管人应当按照《基金合同》的约定进行估值。</w:t>
      </w:r>
    </w:p>
    <w:p>
      <w:pPr>
        <w:ind w:firstLine="420"/>
      </w:pPr>
      <w:r>
        <w:rPr>
          <w:rFonts w:hAnsiTheme="minorEastAsia" w:eastAsiaTheme="minorEastAsia"/>
        </w:rPr>
        <w:t>（三）基金份额净值错误的处理方式</w:t>
      </w:r>
    </w:p>
    <w:p>
      <w:pPr>
        <w:ind w:firstLine="420"/>
      </w:pPr>
      <w:r>
        <w:rPr>
          <w:rFonts w:hAnsiTheme="minorEastAsia" w:eastAsiaTheme="minorEastAsia"/>
        </w:rPr>
        <w:t>基金管理人及基金托管人应当按照《基金合同》的约定处理份额净值错误。</w:t>
      </w:r>
    </w:p>
    <w:p>
      <w:pPr>
        <w:ind w:firstLine="420"/>
      </w:pPr>
      <w:r>
        <w:rPr>
          <w:rFonts w:hAnsiTheme="minorEastAsia" w:eastAsiaTheme="minorEastAsia"/>
        </w:rPr>
        <w:t>（四）基金会计制度</w:t>
      </w:r>
    </w:p>
    <w:p>
      <w:pPr>
        <w:ind w:firstLine="420"/>
      </w:pPr>
      <w:r>
        <w:rPr>
          <w:rFonts w:hAnsiTheme="minorEastAsia" w:eastAsiaTheme="minorEastAsia"/>
        </w:rPr>
        <w:t>按国家有关部门规定的会计制度执行。</w:t>
      </w:r>
    </w:p>
    <w:p>
      <w:pPr>
        <w:ind w:firstLine="420"/>
      </w:pPr>
      <w:r>
        <w:rPr>
          <w:rFonts w:hAnsiTheme="minorEastAsia" w:eastAsiaTheme="minorEastAsia"/>
        </w:rPr>
        <w:t>（五）基金账册的建立</w:t>
      </w:r>
    </w:p>
    <w:p>
      <w:pPr>
        <w:ind w:firstLine="420"/>
      </w:pPr>
      <w:r>
        <w:rPr>
          <w:rFonts w:hAnsiTheme="minorEastAsia" w:eastAsiaTheme="minorEastAsia"/>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ind w:firstLine="420"/>
      </w:pPr>
      <w:r>
        <w:rPr>
          <w:rFonts w:hAnsiTheme="minorEastAsia" w:eastAsiaTheme="minorEastAsia"/>
        </w:rPr>
        <w:t>（六）基金财务报表与报告的编制和复核</w:t>
      </w:r>
    </w:p>
    <w:p>
      <w:pPr>
        <w:ind w:firstLine="420"/>
      </w:pPr>
      <w:r>
        <w:rPr>
          <w:rFonts w:hAnsiTheme="minorEastAsia" w:eastAsiaTheme="minorEastAsia"/>
        </w:rPr>
        <w:t>1.财务报表的编制</w:t>
      </w:r>
    </w:p>
    <w:p>
      <w:pPr>
        <w:ind w:firstLine="420"/>
      </w:pPr>
      <w:r>
        <w:rPr>
          <w:rFonts w:hAnsiTheme="minorEastAsia" w:eastAsiaTheme="minorEastAsia"/>
        </w:rPr>
        <w:t>基金财务报表由基金管理人编制，基金托管人复核。</w:t>
      </w:r>
    </w:p>
    <w:p>
      <w:pPr>
        <w:ind w:firstLine="420"/>
      </w:pPr>
      <w:r>
        <w:rPr>
          <w:rFonts w:hAnsiTheme="minorEastAsia" w:eastAsiaTheme="minorEastAsia"/>
        </w:rPr>
        <w:t>2.报表复核</w:t>
      </w:r>
    </w:p>
    <w:p>
      <w:pPr>
        <w:ind w:firstLine="420"/>
      </w:pPr>
      <w:r>
        <w:rPr>
          <w:rFonts w:hAnsiTheme="minorEastAsia" w:eastAsiaTheme="minorEastAsia"/>
        </w:rPr>
        <w:t>基金托管人在收到基金管理人编制的基金财务报表后，进行独立的复核。核对不符时，应及时通知基金管理人共同查出原因，进行调整，直至双方数据完全一致。</w:t>
      </w:r>
    </w:p>
    <w:p>
      <w:pPr>
        <w:ind w:firstLine="420"/>
      </w:pPr>
      <w:r>
        <w:rPr>
          <w:rFonts w:hAnsiTheme="minorEastAsia" w:eastAsiaTheme="minorEastAsia"/>
        </w:rPr>
        <w:t>3.财务报表的编制与复核时间安排</w:t>
      </w:r>
    </w:p>
    <w:p>
      <w:pPr>
        <w:ind w:firstLine="420"/>
      </w:pPr>
      <w:r>
        <w:rPr>
          <w:rFonts w:hAnsiTheme="minorEastAsia" w:eastAsiaTheme="minorEastAsia"/>
        </w:rPr>
        <w:t>基金管理人、基金托管人应当在每月结束后5个工作日内完成月度报表的编制及复核；在季度结束之日起15个工作日内完成基金季度报告的编制及复核；在上半年结束之日起2个月内完成基金中期报告的编制及复核；在每年结束之日起3个月内完成基金年度报告的编制及复核。基金托管人在复核过程中，发现双方的报表存在不符时，基金管理人和基金托管人应共同查明原因，进行调整，调整以国家有关规定为准。基金年度报告</w:t>
      </w:r>
      <w:r>
        <w:rPr>
          <w:rFonts w:hint="eastAsia" w:hAnsiTheme="minorEastAsia" w:eastAsiaTheme="minorEastAsia"/>
        </w:rPr>
        <w:t>中</w:t>
      </w:r>
      <w:r>
        <w:rPr>
          <w:rFonts w:hAnsiTheme="minorEastAsia" w:eastAsiaTheme="minorEastAsia"/>
        </w:rPr>
        <w:t>的财务会计报告应当经过</w:t>
      </w:r>
      <w:r>
        <w:rPr>
          <w:rFonts w:hint="eastAsia" w:hAnsiTheme="minorEastAsia" w:eastAsiaTheme="minorEastAsia"/>
        </w:rPr>
        <w:t>符合《中华人民共和国证券法》规定</w:t>
      </w:r>
      <w:r>
        <w:rPr>
          <w:rFonts w:hAnsiTheme="minorEastAsia" w:eastAsiaTheme="minorEastAsia"/>
        </w:rPr>
        <w:t>的会计师事务所审计。基金合同生效不足两个月的，基金管理人可以不编制当期季度报告、中期报告或者年度报告。</w:t>
      </w:r>
    </w:p>
    <w:p>
      <w:pPr>
        <w:ind w:firstLine="420"/>
      </w:pPr>
      <w:r>
        <w:rPr>
          <w:rFonts w:hAnsiTheme="minorEastAsia" w:eastAsiaTheme="minorEastAsia"/>
        </w:rPr>
        <w:t>（七）在有需要时，基金管理人应每季度向基金托管人提供基金业绩比较基准的基础数据和编制结果。</w:t>
      </w:r>
    </w:p>
    <w:p>
      <w:pPr>
        <w:ind w:firstLine="420"/>
      </w:pPr>
      <w:r>
        <w:rPr>
          <w:rFonts w:hint="eastAsia" w:hAnsiTheme="minorEastAsia" w:eastAsiaTheme="minorEastAsia"/>
        </w:rPr>
        <w:t>（八）实施侧袋机制期间的基金资产估值</w:t>
      </w:r>
    </w:p>
    <w:p>
      <w:pPr>
        <w:ind w:firstLine="420"/>
      </w:pPr>
      <w:r>
        <w:rPr>
          <w:rFonts w:hint="eastAsia" w:hAnsiTheme="minorEastAsia" w:eastAsiaTheme="minorEastAsia"/>
        </w:rPr>
        <w:t>本基金实施侧袋机制的，应根据本部分的约定对主袋账户资产进行估值并披露主袋账户的基金净值信息，暂停披露侧袋账户份额净值。</w:t>
      </w:r>
    </w:p>
    <w:p>
      <w:pPr>
        <w:ind w:firstLine="420"/>
        <w:rPr>
          <w:szCs w:val="21"/>
        </w:rPr>
      </w:pP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08" w:name="_Toc348082037"/>
      <w:bookmarkStart w:id="109" w:name="_Toc126347217"/>
      <w:r>
        <w:rPr>
          <w:rFonts w:ascii="Times New Roman" w:hAnsiTheme="minorEastAsia" w:eastAsiaTheme="minorEastAsia"/>
          <w:sz w:val="21"/>
          <w:szCs w:val="21"/>
        </w:rPr>
        <w:t>九、基金收益分配</w:t>
      </w:r>
      <w:bookmarkEnd w:id="108"/>
      <w:bookmarkEnd w:id="109"/>
    </w:p>
    <w:p>
      <w:pPr>
        <w:ind w:firstLine="420"/>
      </w:pPr>
      <w:r>
        <w:rPr>
          <w:rFonts w:hAnsiTheme="minorEastAsia" w:eastAsiaTheme="minorEastAsia"/>
        </w:rPr>
        <w:t>基金管理人与基金托管人按照《基金合同》的约定处理基金收益分配。</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10" w:name="_Toc126347218"/>
      <w:bookmarkStart w:id="111" w:name="_Toc348082038"/>
      <w:r>
        <w:rPr>
          <w:rFonts w:ascii="Times New Roman" w:hAnsiTheme="minorEastAsia" w:eastAsiaTheme="minorEastAsia"/>
          <w:sz w:val="21"/>
          <w:szCs w:val="21"/>
        </w:rPr>
        <w:t>十、基金信息披露</w:t>
      </w:r>
      <w:bookmarkEnd w:id="110"/>
      <w:bookmarkEnd w:id="111"/>
    </w:p>
    <w:p>
      <w:pPr>
        <w:ind w:firstLine="420"/>
      </w:pPr>
      <w:r>
        <w:rPr>
          <w:rFonts w:hAnsiTheme="minorEastAsia" w:eastAsiaTheme="minorEastAsia"/>
        </w:rPr>
        <w:t>（一）保密义务</w:t>
      </w:r>
    </w:p>
    <w:p>
      <w:pPr>
        <w:ind w:firstLine="420"/>
      </w:pPr>
      <w:r>
        <w:rPr>
          <w:rFonts w:hAnsiTheme="minorEastAsia" w:eastAsiaTheme="minorEastAsia"/>
        </w:rPr>
        <w:t>基金托管人和基金管理人应按法律法规、基金合同的有关规定进行信息披露，拟公开披露的信息在公开披露之前应予保密。除按《基金法》、基金合同、《信息披露办法》</w:t>
      </w:r>
      <w:r>
        <w:rPr>
          <w:rFonts w:hint="eastAsia" w:hAnsiTheme="minorEastAsia" w:eastAsiaTheme="minorEastAsia"/>
        </w:rPr>
        <w:t>、</w:t>
      </w:r>
      <w:r>
        <w:rPr>
          <w:rFonts w:hint="eastAsia" w:hAnsiTheme="minorEastAsia" w:eastAsiaTheme="minorEastAsia"/>
          <w:bCs/>
        </w:rPr>
        <w:t>《流动性风险管理规定》</w:t>
      </w:r>
      <w:r>
        <w:rPr>
          <w:rFonts w:hAnsiTheme="minorEastAsia" w:eastAsiaTheme="minorEastAsia"/>
        </w:rPr>
        <w:t>及其他有关规定进行信息披露外，基金管理人和基金托管人对基金运作中产生的信息以及从对方获得的业务信息应予保密</w:t>
      </w:r>
      <w:r>
        <w:rPr>
          <w:rFonts w:hint="eastAsia" w:hAnsiTheme="minorEastAsia" w:eastAsiaTheme="minorEastAsia"/>
        </w:rPr>
        <w:t>，并且应当将保密信息限制在为履行前述义务而需要了解该保密信息的职员范围之内</w:t>
      </w:r>
      <w:r>
        <w:rPr>
          <w:rFonts w:hAnsiTheme="minorEastAsia" w:eastAsiaTheme="minorEastAsia"/>
        </w:rPr>
        <w:t>。但是，如下情况不应视为基金管理人或基金托管人违反保密义务：</w:t>
      </w:r>
    </w:p>
    <w:p>
      <w:pPr>
        <w:ind w:firstLine="420"/>
      </w:pPr>
      <w:r>
        <w:rPr>
          <w:rFonts w:hAnsiTheme="minorEastAsia" w:eastAsiaTheme="minorEastAsia"/>
        </w:rPr>
        <w:t>1.非因基金管理人和基金托管人的原因导致保密信息被披露、泄露或公开；</w:t>
      </w:r>
    </w:p>
    <w:p>
      <w:pPr>
        <w:ind w:firstLine="420"/>
        <w:rPr>
          <w:rFonts w:hint="eastAsia" w:hAnsiTheme="minorEastAsia" w:eastAsiaTheme="minorEastAsia"/>
        </w:rPr>
      </w:pPr>
      <w:r>
        <w:rPr>
          <w:rFonts w:hAnsiTheme="minorEastAsia" w:eastAsiaTheme="minorEastAsia"/>
        </w:rPr>
        <w:t>2.基金管理人和基金托管人为遵守和服从法院判决或裁定、仲裁裁决或中国证监会等监管机构的命令、决定所做出的信息披露或公开</w:t>
      </w:r>
      <w:r>
        <w:rPr>
          <w:rFonts w:hint="eastAsia" w:hAnsiTheme="minorEastAsia" w:eastAsiaTheme="minorEastAsia"/>
        </w:rPr>
        <w:t>；</w:t>
      </w:r>
    </w:p>
    <w:p>
      <w:pPr>
        <w:ind w:firstLine="420"/>
        <w:rPr>
          <w:rFonts w:hint="eastAsia" w:hAnsiTheme="minorEastAsia" w:eastAsiaTheme="minorEastAsia"/>
        </w:rPr>
      </w:pPr>
      <w:r>
        <w:rPr>
          <w:rFonts w:hAnsiTheme="minorEastAsia" w:eastAsiaTheme="minorEastAsia"/>
        </w:rPr>
        <w:t>3.</w:t>
      </w:r>
      <w:r>
        <w:rPr>
          <w:rFonts w:hint="eastAsia" w:hAnsiTheme="minorEastAsia" w:eastAsiaTheme="minorEastAsia"/>
        </w:rPr>
        <w:t>基金管理人和基金托管人在要求保密的前提下对自身聘请的外部法律顾问、财务顾问、审计人员、技术顾问等做出的必要信息披露。</w:t>
      </w:r>
    </w:p>
    <w:p>
      <w:pPr>
        <w:ind w:firstLine="420"/>
      </w:pPr>
      <w:r>
        <w:rPr>
          <w:rFonts w:hAnsiTheme="minorEastAsia" w:eastAsiaTheme="minorEastAsia"/>
        </w:rPr>
        <w:t>（二）信息披露的内容</w:t>
      </w:r>
    </w:p>
    <w:p>
      <w:pPr>
        <w:ind w:firstLine="420"/>
      </w:pPr>
      <w:r>
        <w:rPr>
          <w:rFonts w:hAnsiTheme="minorEastAsia" w:eastAsiaTheme="minorEastAsia"/>
        </w:rPr>
        <w:t>基金的信息披露内容主要包括基金招募说明书、基金合同、</w:t>
      </w:r>
      <w:r>
        <w:rPr>
          <w:rFonts w:hint="eastAsia" w:hAnsiTheme="minorEastAsia" w:eastAsiaTheme="minorEastAsia"/>
        </w:rPr>
        <w:t>基金</w:t>
      </w:r>
      <w:r>
        <w:rPr>
          <w:rFonts w:hAnsiTheme="minorEastAsia" w:eastAsiaTheme="minorEastAsia"/>
        </w:rPr>
        <w:t>托管协议、基金产品资料概要、基金份额发售公告、基金合同生效公告、基金净值信息、基金份额申购、赎回价格、基金定期报告（包括基金年度报告、基金中期报告和基金季度报告</w:t>
      </w:r>
      <w:r>
        <w:rPr>
          <w:rFonts w:hint="eastAsia" w:hAnsiTheme="minorEastAsia" w:eastAsiaTheme="minorEastAsia"/>
        </w:rPr>
        <w:t>（含资产组合季度报告）</w:t>
      </w:r>
      <w:r>
        <w:rPr>
          <w:rFonts w:hAnsiTheme="minorEastAsia" w:eastAsiaTheme="minorEastAsia"/>
        </w:rPr>
        <w:t>）、临时报告、澄清公告、基金份额持有人大会决议、</w:t>
      </w:r>
      <w:r>
        <w:rPr>
          <w:rFonts w:hint="eastAsia" w:hAnsiTheme="minorEastAsia" w:eastAsiaTheme="minorEastAsia"/>
        </w:rPr>
        <w:t>投资国债期货的相关公告、</w:t>
      </w:r>
      <w:r>
        <w:rPr>
          <w:rFonts w:hAnsiTheme="minorEastAsia" w:eastAsiaTheme="minorEastAsia"/>
        </w:rPr>
        <w:t>清算报告、</w:t>
      </w:r>
      <w:r>
        <w:rPr>
          <w:rFonts w:hint="eastAsia" w:hAnsiTheme="minorEastAsia" w:eastAsiaTheme="minorEastAsia"/>
        </w:rPr>
        <w:t>投资资产支持证券的信息披露、投资港股通标的股票的信息披露、投资信用衍生品的信息披露、投资存托凭证的信息披露、投资公开募集的基金份额的信息披露、实施侧袋机制期间的信息披露、</w:t>
      </w:r>
      <w:r>
        <w:rPr>
          <w:rFonts w:hAnsiTheme="minorEastAsia" w:eastAsiaTheme="minorEastAsia"/>
        </w:rPr>
        <w:t>中国证监会规定的其他信息。基金年度报告中的财务会计报告需经</w:t>
      </w:r>
      <w:r>
        <w:rPr>
          <w:rFonts w:hint="eastAsia" w:hAnsiTheme="minorEastAsia" w:eastAsiaTheme="minorEastAsia"/>
        </w:rPr>
        <w:t>符合《中华人民共和国证券法》规定的</w:t>
      </w:r>
      <w:r>
        <w:rPr>
          <w:rFonts w:hAnsiTheme="minorEastAsia" w:eastAsiaTheme="minorEastAsia"/>
        </w:rPr>
        <w:t>会计师事务所审计后，方可披露。</w:t>
      </w:r>
    </w:p>
    <w:p>
      <w:pPr>
        <w:ind w:firstLine="420"/>
      </w:pPr>
      <w:r>
        <w:rPr>
          <w:rFonts w:hAnsiTheme="minorEastAsia" w:eastAsiaTheme="minorEastAsia"/>
        </w:rPr>
        <w:t>（三）基金托管人和基金管理人在信息披露中的职责和信息披露程序</w:t>
      </w:r>
    </w:p>
    <w:p>
      <w:pPr>
        <w:ind w:firstLine="420"/>
      </w:pPr>
      <w:r>
        <w:rPr>
          <w:rFonts w:hAnsiTheme="minorEastAsia" w:eastAsiaTheme="minorEastAsia"/>
        </w:rPr>
        <w:t>1.职责</w:t>
      </w:r>
    </w:p>
    <w:p>
      <w:pPr>
        <w:ind w:firstLine="420"/>
      </w:pPr>
      <w:r>
        <w:rPr>
          <w:rFonts w:hAnsiTheme="minorEastAsia" w:eastAsiaTheme="minorEastAsia"/>
        </w:rPr>
        <w:t>基金托管人和基金管理人在信息披露过程中应以保护基金份额持有人利益为宗旨，诚实信用，严守秘密。基金管理人负责办理与基金有关的信息披露事宜，对于根据相关法律法规和基金合同规定的需要由基金托管人复核的信息披露文件，在经基金托管人复核无误后，由基金管理人予以公布。</w:t>
      </w:r>
    </w:p>
    <w:p>
      <w:pPr>
        <w:ind w:firstLine="420"/>
      </w:pPr>
      <w:r>
        <w:rPr>
          <w:rFonts w:hAnsiTheme="minorEastAsia" w:eastAsiaTheme="minorEastAsia"/>
        </w:rPr>
        <w:t>基金管理人和基金托管人应积极配合、互相监督，保证其履行按照法定方式和限时披露的义务。</w:t>
      </w:r>
    </w:p>
    <w:p>
      <w:pPr>
        <w:ind w:firstLine="420"/>
      </w:pPr>
      <w:r>
        <w:rPr>
          <w:rFonts w:hAnsiTheme="minorEastAsia" w:eastAsiaTheme="minorEastAsia"/>
        </w:rPr>
        <w:t>基金管理人应当在中国证监会规定的时间内，将应予披露的基金信息通过中国证监会规定媒介披露。根据法律法规应由基金托管人公开披露的信息，基金托管人在规定媒介公开披露。</w:t>
      </w:r>
    </w:p>
    <w:p>
      <w:pPr>
        <w:ind w:firstLine="420"/>
      </w:pPr>
      <w:r>
        <w:rPr>
          <w:rFonts w:hAnsiTheme="minorEastAsia" w:eastAsiaTheme="minorEastAsia"/>
        </w:rPr>
        <w:t>当出现下述情况时，基金管理人和基金托管人可暂停或延迟披露基金相关信息：</w:t>
      </w:r>
    </w:p>
    <w:p>
      <w:pPr>
        <w:ind w:firstLine="420"/>
      </w:pPr>
      <w:r>
        <w:rPr>
          <w:rFonts w:hint="eastAsia" w:hAnsiTheme="minorEastAsia" w:eastAsiaTheme="minorEastAsia"/>
        </w:rPr>
        <w:t>（1）因不可抗力或其他情形致使基金管理人、基金托管人无法准确评估基金资产价值时；</w:t>
      </w:r>
    </w:p>
    <w:p>
      <w:pPr>
        <w:ind w:firstLine="420"/>
      </w:pPr>
      <w:r>
        <w:rPr>
          <w:rFonts w:hint="eastAsia" w:hAnsiTheme="minorEastAsia" w:eastAsiaTheme="minorEastAsia"/>
        </w:rPr>
        <w:t>（2）基金投资所涉及的证券/期货交易市场或外汇市场遇法定节假日或因其他原因暂停营业或港股通临时暂停时；</w:t>
      </w:r>
    </w:p>
    <w:p>
      <w:pPr>
        <w:ind w:firstLine="420"/>
      </w:pPr>
      <w:r>
        <w:rPr>
          <w:rFonts w:hint="eastAsia" w:hAnsiTheme="minorEastAsia" w:eastAsiaTheme="minorEastAsia"/>
        </w:rPr>
        <w:t>（3）发生《基金合同》约定的暂停估值的情形；</w:t>
      </w:r>
    </w:p>
    <w:p>
      <w:pPr>
        <w:ind w:firstLine="420"/>
      </w:pPr>
      <w:r>
        <w:rPr>
          <w:rFonts w:hint="eastAsia" w:hAnsiTheme="minorEastAsia" w:eastAsiaTheme="minorEastAsia"/>
        </w:rPr>
        <w:t>（</w:t>
      </w:r>
      <w:r>
        <w:rPr>
          <w:rFonts w:hAnsiTheme="minorEastAsia" w:eastAsiaTheme="minorEastAsia"/>
        </w:rPr>
        <w:t>4</w:t>
      </w:r>
      <w:r>
        <w:rPr>
          <w:rFonts w:hint="eastAsia" w:hAnsiTheme="minorEastAsia" w:eastAsiaTheme="minorEastAsia"/>
        </w:rPr>
        <w:t>）法律法规、基金合同或中国证监会规定的情况。</w:t>
      </w:r>
    </w:p>
    <w:p>
      <w:pPr>
        <w:ind w:firstLine="420"/>
      </w:pPr>
      <w:r>
        <w:rPr>
          <w:rFonts w:hAnsiTheme="minorEastAsia" w:eastAsiaTheme="minorEastAsia"/>
        </w:rPr>
        <w:t>2.程序</w:t>
      </w:r>
    </w:p>
    <w:p>
      <w:pPr>
        <w:ind w:firstLine="420"/>
      </w:pPr>
      <w:r>
        <w:rPr>
          <w:rFonts w:hAnsiTheme="minorEastAsia" w:eastAsiaTheme="minorEastAsia"/>
        </w:rPr>
        <w:t>按有关规定须经基金托管人复核的信息披露文件，由基金管理人起草、并经基金托管人复核后由基金管理人公告。发生基金合同中规定需要披露的事项时，按基金合同规定公布。</w:t>
      </w:r>
    </w:p>
    <w:p>
      <w:pPr>
        <w:ind w:firstLine="420"/>
      </w:pPr>
      <w:r>
        <w:rPr>
          <w:rFonts w:hAnsiTheme="minorEastAsia" w:eastAsiaTheme="minorEastAsia"/>
        </w:rPr>
        <w:t>3.信息文本的存放</w:t>
      </w:r>
    </w:p>
    <w:p>
      <w:pPr>
        <w:ind w:firstLine="420"/>
      </w:pPr>
      <w:r>
        <w:rPr>
          <w:rFonts w:hAnsiTheme="minorEastAsia" w:eastAsiaTheme="minorEastAsia"/>
        </w:rPr>
        <w:t>依法必须披露的信息发布后，基金管理人、基金托管人应当按照相关法律法规规定将信息置备于各自住所，供社会公众查阅、复制。基金管理人和基金托管人应保证文本的内容与所公告的内容完全一致。</w:t>
      </w:r>
    </w:p>
    <w:p>
      <w:pPr>
        <w:ind w:firstLine="420"/>
      </w:pPr>
      <w:r>
        <w:rPr>
          <w:rFonts w:hint="eastAsia" w:hAnsiTheme="minorEastAsia" w:eastAsiaTheme="minorEastAsia"/>
        </w:rPr>
        <w:t>（四）实施侧袋机制期间的信息披露</w:t>
      </w:r>
    </w:p>
    <w:p>
      <w:pPr>
        <w:ind w:firstLine="420"/>
      </w:pPr>
      <w:r>
        <w:rPr>
          <w:rFonts w:hint="eastAsia" w:hAnsiTheme="minorEastAsia" w:eastAsiaTheme="minorEastAsia"/>
        </w:rPr>
        <w:t>本基金实施侧袋机制的，相关信息披露义务人应当根据法律法规、基金合同和招募说明书的规定进行信息披露，详见招募说明书的规定。</w:t>
      </w:r>
    </w:p>
    <w:p>
      <w:pPr>
        <w:pStyle w:val="5"/>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12" w:name="_Toc348082039"/>
      <w:bookmarkStart w:id="113" w:name="_Toc126347219"/>
      <w:r>
        <w:rPr>
          <w:rFonts w:ascii="Times New Roman" w:hAnsiTheme="minorEastAsia" w:eastAsiaTheme="minorEastAsia"/>
          <w:sz w:val="21"/>
          <w:szCs w:val="21"/>
        </w:rPr>
        <w:t>十一、基金费用</w:t>
      </w:r>
      <w:bookmarkEnd w:id="112"/>
      <w:bookmarkEnd w:id="113"/>
    </w:p>
    <w:p>
      <w:pPr>
        <w:ind w:firstLine="420"/>
      </w:pPr>
      <w:r>
        <w:rPr>
          <w:rFonts w:hAnsiTheme="minorEastAsia" w:eastAsiaTheme="minorEastAsia"/>
        </w:rPr>
        <w:t>（</w:t>
      </w:r>
      <w:r>
        <w:rPr>
          <w:rFonts w:hint="eastAsia" w:hAnsiTheme="minorEastAsia" w:eastAsiaTheme="minorEastAsia"/>
        </w:rPr>
        <w:t>一）基金费用的种类</w:t>
      </w:r>
    </w:p>
    <w:p>
      <w:pPr>
        <w:ind w:firstLine="420"/>
      </w:pPr>
      <w:r>
        <w:rPr>
          <w:rFonts w:hint="eastAsia" w:hAnsiTheme="minorEastAsia" w:eastAsiaTheme="minorEastAsia"/>
        </w:rPr>
        <w:t>1、基金管理人的管理费；</w:t>
      </w:r>
    </w:p>
    <w:p>
      <w:pPr>
        <w:ind w:firstLine="420"/>
      </w:pPr>
      <w:r>
        <w:rPr>
          <w:rFonts w:hint="eastAsia" w:hAnsiTheme="minorEastAsia" w:eastAsiaTheme="minorEastAsia"/>
        </w:rPr>
        <w:t>2、基金托管人的托管费；</w:t>
      </w:r>
    </w:p>
    <w:p>
      <w:pPr>
        <w:ind w:firstLine="420"/>
      </w:pPr>
      <w:r>
        <w:rPr>
          <w:rFonts w:hAnsiTheme="minorEastAsia" w:eastAsiaTheme="minorEastAsia"/>
        </w:rPr>
        <w:t>3</w:t>
      </w:r>
      <w:r>
        <w:rPr>
          <w:rFonts w:hint="eastAsia" w:hAnsiTheme="minorEastAsia" w:eastAsiaTheme="minorEastAsia"/>
        </w:rPr>
        <w:t>、C类基金份额的销售服务费；</w:t>
      </w:r>
    </w:p>
    <w:p>
      <w:pPr>
        <w:ind w:firstLine="420"/>
      </w:pPr>
      <w:r>
        <w:rPr>
          <w:rFonts w:hAnsiTheme="minorEastAsia" w:eastAsiaTheme="minorEastAsia"/>
        </w:rPr>
        <w:t>4</w:t>
      </w:r>
      <w:r>
        <w:rPr>
          <w:rFonts w:hint="eastAsia" w:hAnsiTheme="minorEastAsia" w:eastAsiaTheme="minorEastAsia"/>
        </w:rPr>
        <w:t>、除法律法规、中国证监会另有规定外，《基金合同》生效后与基金相关的信息披露费用；</w:t>
      </w:r>
    </w:p>
    <w:p>
      <w:pPr>
        <w:ind w:firstLine="420"/>
      </w:pPr>
      <w:r>
        <w:rPr>
          <w:rFonts w:hAnsiTheme="minorEastAsia" w:eastAsiaTheme="minorEastAsia"/>
        </w:rPr>
        <w:t>5</w:t>
      </w:r>
      <w:r>
        <w:rPr>
          <w:rFonts w:hint="eastAsia" w:hAnsiTheme="minorEastAsia" w:eastAsiaTheme="minorEastAsia"/>
        </w:rPr>
        <w:t>、《基金合同》生效后与基金相关的会计师费、律师费、仲裁费和诉讼费；</w:t>
      </w:r>
    </w:p>
    <w:p>
      <w:pPr>
        <w:ind w:firstLine="420"/>
      </w:pPr>
      <w:r>
        <w:rPr>
          <w:rFonts w:hAnsiTheme="minorEastAsia" w:eastAsiaTheme="minorEastAsia"/>
        </w:rPr>
        <w:t>6</w:t>
      </w:r>
      <w:r>
        <w:rPr>
          <w:rFonts w:hint="eastAsia" w:hAnsiTheme="minorEastAsia" w:eastAsiaTheme="minorEastAsia"/>
        </w:rPr>
        <w:t>、基金份额持有人大会费用；</w:t>
      </w:r>
    </w:p>
    <w:p>
      <w:pPr>
        <w:ind w:firstLine="420"/>
      </w:pPr>
      <w:bookmarkStart w:id="114" w:name="_Hlk152926706"/>
      <w:r>
        <w:rPr>
          <w:rFonts w:hAnsiTheme="minorEastAsia" w:eastAsiaTheme="minorEastAsia"/>
        </w:rPr>
        <w:t>7</w:t>
      </w:r>
      <w:r>
        <w:rPr>
          <w:rFonts w:hint="eastAsia" w:hAnsiTheme="minorEastAsia" w:eastAsiaTheme="minorEastAsia"/>
        </w:rPr>
        <w:t>、基金的相关账户开户费用、账户维护费用；</w:t>
      </w:r>
    </w:p>
    <w:p>
      <w:pPr>
        <w:ind w:firstLine="420"/>
      </w:pPr>
      <w:r>
        <w:rPr>
          <w:rFonts w:hAnsiTheme="minorEastAsia" w:eastAsiaTheme="minorEastAsia"/>
        </w:rPr>
        <w:t>8</w:t>
      </w:r>
      <w:r>
        <w:rPr>
          <w:rFonts w:hint="eastAsia" w:hAnsiTheme="minorEastAsia" w:eastAsiaTheme="minorEastAsia"/>
        </w:rPr>
        <w:t>、基金的证券、期货交易结算费用；</w:t>
      </w:r>
    </w:p>
    <w:p>
      <w:pPr>
        <w:ind w:firstLine="420"/>
      </w:pPr>
      <w:r>
        <w:rPr>
          <w:rFonts w:hAnsiTheme="minorEastAsia" w:eastAsiaTheme="minorEastAsia"/>
        </w:rPr>
        <w:t>9</w:t>
      </w:r>
      <w:r>
        <w:rPr>
          <w:rFonts w:hint="eastAsia" w:hAnsiTheme="minorEastAsia" w:eastAsiaTheme="minorEastAsia"/>
        </w:rPr>
        <w:t xml:space="preserve">、基金的银行汇划费用； </w:t>
      </w:r>
      <w:bookmarkEnd w:id="114"/>
    </w:p>
    <w:p>
      <w:pPr>
        <w:ind w:firstLine="420"/>
        <w:rPr>
          <w:rFonts w:hint="eastAsia" w:hAnsiTheme="minorEastAsia" w:eastAsiaTheme="minorEastAsia"/>
        </w:rPr>
      </w:pPr>
      <w:r>
        <w:rPr>
          <w:rFonts w:hint="eastAsia" w:hAnsiTheme="minorEastAsia" w:eastAsiaTheme="minorEastAsia"/>
        </w:rPr>
        <w:t>10、因投资港股通标的股票而产生的各项合理费用；</w:t>
      </w:r>
    </w:p>
    <w:p>
      <w:pPr>
        <w:ind w:firstLine="420"/>
        <w:rPr>
          <w:rFonts w:hint="eastAsia" w:hAnsiTheme="minorEastAsia" w:eastAsiaTheme="minorEastAsia"/>
        </w:rPr>
      </w:pPr>
      <w:r>
        <w:rPr>
          <w:rFonts w:hint="eastAsia" w:hAnsiTheme="minorEastAsia" w:eastAsiaTheme="minorEastAsia"/>
        </w:rPr>
        <w:t>11、基金投资其他基金产生的其他基金的销售费用，但法律法规禁止从基金财产中列支的除外；</w:t>
      </w:r>
    </w:p>
    <w:p>
      <w:pPr>
        <w:ind w:firstLine="420"/>
      </w:pPr>
      <w:r>
        <w:rPr>
          <w:rFonts w:hAnsiTheme="minorEastAsia" w:eastAsiaTheme="minorEastAsia"/>
        </w:rPr>
        <w:t>1</w:t>
      </w:r>
      <w:r>
        <w:rPr>
          <w:rFonts w:hint="eastAsia" w:hAnsiTheme="minorEastAsia" w:eastAsiaTheme="minorEastAsia"/>
        </w:rPr>
        <w:t>2、按照国家有关规定和《基金合同》约定，可以在基金财产中列支的其他费用。</w:t>
      </w:r>
    </w:p>
    <w:p>
      <w:pPr>
        <w:ind w:firstLine="420"/>
      </w:pPr>
      <w:r>
        <w:rPr>
          <w:rFonts w:hAnsiTheme="minorEastAsia" w:eastAsiaTheme="minorEastAsia"/>
        </w:rPr>
        <w:t>（</w:t>
      </w:r>
      <w:r>
        <w:rPr>
          <w:rFonts w:hint="eastAsia" w:hAnsiTheme="minorEastAsia" w:eastAsiaTheme="minorEastAsia"/>
        </w:rPr>
        <w:t>二）基金费用计提方法、计提标准和支付方式</w:t>
      </w:r>
    </w:p>
    <w:p>
      <w:pPr>
        <w:ind w:firstLine="420"/>
      </w:pPr>
      <w:r>
        <w:rPr>
          <w:rFonts w:hint="eastAsia" w:hAnsiTheme="minorEastAsia" w:eastAsiaTheme="minorEastAsia"/>
        </w:rPr>
        <w:t xml:space="preserve">1、基金管理人的管理费 </w:t>
      </w:r>
    </w:p>
    <w:p>
      <w:pPr>
        <w:ind w:firstLine="420"/>
      </w:pPr>
      <w:r>
        <w:rPr>
          <w:rFonts w:hint="eastAsia" w:hAnsiTheme="minorEastAsia" w:eastAsiaTheme="minorEastAsia"/>
        </w:rPr>
        <w:t>本基金投资于本基金管理人所管理的其他公开募集证券投资基金的部分不收取管理费。本基金的管理费按前一日基金资产净值扣除本基金持有的基金管理人自身管理的其他公开募集证券投资基金部分所对应资产净值后的余额（若为负数，则取0）的</w:t>
      </w:r>
      <w:r>
        <w:rPr>
          <w:rFonts w:hAnsiTheme="minorEastAsia" w:eastAsiaTheme="minorEastAsia"/>
        </w:rPr>
        <w:t>0.</w:t>
      </w:r>
      <w:r>
        <w:rPr>
          <w:rFonts w:hint="eastAsia" w:hAnsiTheme="minorEastAsia" w:eastAsiaTheme="minorEastAsia"/>
        </w:rPr>
        <w:t>6</w:t>
      </w:r>
      <w:r>
        <w:rPr>
          <w:rFonts w:hAnsiTheme="minorEastAsia" w:eastAsiaTheme="minorEastAsia"/>
        </w:rPr>
        <w:t>0</w:t>
      </w:r>
      <w:r>
        <w:rPr>
          <w:rFonts w:hint="eastAsia" w:hAnsiTheme="minorEastAsia" w:eastAsiaTheme="minorEastAsia"/>
        </w:rPr>
        <w:t>%的年费率计提。管理费的计算方法如下：</w:t>
      </w:r>
    </w:p>
    <w:p>
      <w:pPr>
        <w:ind w:firstLine="420"/>
      </w:pPr>
      <w:r>
        <w:rPr>
          <w:rFonts w:hint="eastAsia" w:hAnsiTheme="minorEastAsia" w:eastAsiaTheme="minorEastAsia"/>
        </w:rPr>
        <w:t>H＝E×</w:t>
      </w:r>
      <w:r>
        <w:rPr>
          <w:rFonts w:hAnsiTheme="minorEastAsia" w:eastAsiaTheme="minorEastAsia"/>
        </w:rPr>
        <w:t>0.</w:t>
      </w:r>
      <w:r>
        <w:rPr>
          <w:rFonts w:hint="eastAsia" w:hAnsiTheme="minorEastAsia" w:eastAsiaTheme="minorEastAsia"/>
        </w:rPr>
        <w:t>6</w:t>
      </w:r>
      <w:r>
        <w:rPr>
          <w:rFonts w:hAnsiTheme="minorEastAsia" w:eastAsiaTheme="minorEastAsia"/>
        </w:rPr>
        <w:t>0</w:t>
      </w:r>
      <w:r>
        <w:rPr>
          <w:rFonts w:hint="eastAsia" w:hAnsiTheme="minorEastAsia" w:eastAsiaTheme="minorEastAsia"/>
        </w:rPr>
        <w:t>%÷当年天数</w:t>
      </w:r>
    </w:p>
    <w:p>
      <w:pPr>
        <w:ind w:firstLine="420"/>
      </w:pPr>
      <w:r>
        <w:rPr>
          <w:rFonts w:hint="eastAsia" w:hAnsiTheme="minorEastAsia" w:eastAsiaTheme="minorEastAsia"/>
        </w:rPr>
        <w:t>H为每日应计提的基金管理费</w:t>
      </w:r>
    </w:p>
    <w:p>
      <w:pPr>
        <w:ind w:firstLine="420"/>
      </w:pPr>
      <w:r>
        <w:rPr>
          <w:rFonts w:hint="eastAsia" w:hAnsiTheme="minorEastAsia" w:eastAsiaTheme="minorEastAsia"/>
        </w:rPr>
        <w:t>E为前一日的基金资产净值扣除本基金持有的基金管理人自身管理的其他公开募集证券投资基金部分所对应资产净值后的余额，如扣除后E＜0，则E取0</w:t>
      </w:r>
    </w:p>
    <w:p>
      <w:pPr>
        <w:ind w:firstLine="420"/>
      </w:pPr>
      <w:r>
        <w:rPr>
          <w:rFonts w:hint="eastAsia" w:hAnsiTheme="minorEastAsia" w:eastAsiaTheme="minorEastAsia"/>
        </w:rPr>
        <w:t>基金管理费每日计提，按月支付。由基金托管人根据与基金管理人核对一致的财务数据，自动在次月初5个工作日内按照指定的账户路径进行支付。若遇法定节假日、休息日等，支付日期顺延。费用自动扣划后，基金管理人应进行核对，如发现数据不符，应及时联系基金托管人协商解决。</w:t>
      </w:r>
    </w:p>
    <w:p>
      <w:pPr>
        <w:ind w:firstLine="420"/>
      </w:pPr>
      <w:r>
        <w:rPr>
          <w:rFonts w:hint="eastAsia" w:hAnsiTheme="minorEastAsia" w:eastAsiaTheme="minorEastAsia"/>
        </w:rPr>
        <w:t>2、基金托管人的托管费</w:t>
      </w:r>
    </w:p>
    <w:p>
      <w:pPr>
        <w:ind w:firstLine="420"/>
      </w:pPr>
      <w:r>
        <w:rPr>
          <w:rFonts w:hint="eastAsia" w:hAnsiTheme="minorEastAsia" w:eastAsiaTheme="minorEastAsia"/>
        </w:rPr>
        <w:t>本基金投资于本基金托管人所托管的其他公开募集证券投资基金的部分不收取托管费。本基金的托管费按前一日基金资产净值扣除本基金持有的基金托管人自身托管的其他公开募集证券投资基金部分所对应资产净值后的余额（若为负数，则取0）的</w:t>
      </w:r>
      <w:r>
        <w:rPr>
          <w:rFonts w:hAnsiTheme="minorEastAsia" w:eastAsiaTheme="minorEastAsia"/>
        </w:rPr>
        <w:t>0.10</w:t>
      </w:r>
      <w:r>
        <w:rPr>
          <w:rFonts w:hint="eastAsia" w:hAnsiTheme="minorEastAsia" w:eastAsiaTheme="minorEastAsia"/>
        </w:rPr>
        <w:t>%的年费率计提。托管费的计算方法如下：</w:t>
      </w:r>
    </w:p>
    <w:p>
      <w:pPr>
        <w:ind w:firstLine="420"/>
      </w:pPr>
      <w:r>
        <w:rPr>
          <w:rFonts w:hint="eastAsia" w:hAnsiTheme="minorEastAsia" w:eastAsiaTheme="minorEastAsia"/>
        </w:rPr>
        <w:t>H＝E×</w:t>
      </w:r>
      <w:r>
        <w:rPr>
          <w:rFonts w:hAnsiTheme="minorEastAsia" w:eastAsiaTheme="minorEastAsia"/>
        </w:rPr>
        <w:t>0.10</w:t>
      </w:r>
      <w:r>
        <w:rPr>
          <w:rFonts w:hint="eastAsia" w:hAnsiTheme="minorEastAsia" w:eastAsiaTheme="minorEastAsia"/>
        </w:rPr>
        <w:t>%÷当年天数</w:t>
      </w:r>
    </w:p>
    <w:p>
      <w:pPr>
        <w:ind w:firstLine="420"/>
      </w:pPr>
      <w:r>
        <w:rPr>
          <w:rFonts w:hint="eastAsia" w:hAnsiTheme="minorEastAsia" w:eastAsiaTheme="minorEastAsia"/>
        </w:rPr>
        <w:t>H为每日应计提的基金托管费</w:t>
      </w:r>
    </w:p>
    <w:p>
      <w:pPr>
        <w:ind w:firstLine="420"/>
      </w:pPr>
      <w:r>
        <w:rPr>
          <w:rFonts w:hint="eastAsia" w:hAnsiTheme="minorEastAsia" w:eastAsiaTheme="minorEastAsia"/>
        </w:rPr>
        <w:t>E为前一日的基金资产净值扣除本基金持有的基金托管人自身托管的其他公开募集证券投资基金部分所对应资产净值后的余额，如扣除后E＜0，则E取0</w:t>
      </w:r>
    </w:p>
    <w:p>
      <w:pPr>
        <w:ind w:firstLine="420"/>
      </w:pPr>
      <w:r>
        <w:rPr>
          <w:rFonts w:hint="eastAsia" w:hAnsiTheme="minorEastAsia" w:eastAsiaTheme="minorEastAsia"/>
        </w:rPr>
        <w:t>基金托管费每日计提，按月支付。由基金托管人根据与基金管理人核对一致的财务数据，自动在次月初5个工作日内按照指定的账户路径进行支付。若遇法定节假日、休息日等，支付日期顺延。费用自动扣划后，基金管理人应进行核对，如发现数据不符，应及时联系基金托管人协商解决。</w:t>
      </w:r>
    </w:p>
    <w:p>
      <w:pPr>
        <w:ind w:firstLine="420"/>
        <w:rPr>
          <w:bCs/>
          <w:color w:val="000000"/>
          <w:szCs w:val="21"/>
        </w:rPr>
      </w:pPr>
      <w:bookmarkStart w:id="115" w:name="_Hlk26736428"/>
      <w:r>
        <w:rPr>
          <w:rFonts w:hAnsiTheme="minorEastAsia" w:eastAsiaTheme="minorEastAsia"/>
          <w:bCs/>
          <w:color w:val="000000"/>
          <w:szCs w:val="21"/>
        </w:rPr>
        <w:t>3</w:t>
      </w:r>
      <w:r>
        <w:rPr>
          <w:rFonts w:hint="eastAsia" w:hAnsiTheme="minorEastAsia" w:eastAsiaTheme="minorEastAsia"/>
          <w:bCs/>
          <w:color w:val="000000"/>
          <w:szCs w:val="21"/>
        </w:rPr>
        <w:t>、C类基金份额的销售服务费</w:t>
      </w:r>
    </w:p>
    <w:p>
      <w:pPr>
        <w:ind w:firstLine="420"/>
        <w:rPr>
          <w:bCs/>
          <w:color w:val="000000"/>
          <w:szCs w:val="21"/>
        </w:rPr>
      </w:pPr>
      <w:r>
        <w:rPr>
          <w:rFonts w:hint="eastAsia" w:hAnsiTheme="minorEastAsia" w:eastAsiaTheme="minorEastAsia"/>
          <w:bCs/>
          <w:color w:val="000000"/>
          <w:szCs w:val="21"/>
        </w:rPr>
        <w:t>本基金</w:t>
      </w:r>
      <w:r>
        <w:rPr>
          <w:rFonts w:hAnsiTheme="minorEastAsia" w:eastAsiaTheme="minorEastAsia"/>
          <w:bCs/>
          <w:color w:val="000000"/>
          <w:szCs w:val="21"/>
        </w:rPr>
        <w:t>A</w:t>
      </w:r>
      <w:r>
        <w:rPr>
          <w:rFonts w:hint="eastAsia" w:hAnsiTheme="minorEastAsia" w:eastAsiaTheme="minorEastAsia"/>
          <w:bCs/>
          <w:color w:val="000000"/>
          <w:szCs w:val="21"/>
        </w:rPr>
        <w:t>类基金份额不收取销售服务费，</w:t>
      </w:r>
      <w:r>
        <w:rPr>
          <w:rFonts w:hAnsiTheme="minorEastAsia" w:eastAsiaTheme="minorEastAsia"/>
          <w:bCs/>
          <w:color w:val="000000"/>
          <w:szCs w:val="21"/>
        </w:rPr>
        <w:t>C</w:t>
      </w:r>
      <w:r>
        <w:rPr>
          <w:rFonts w:hint="eastAsia" w:hAnsiTheme="minorEastAsia" w:eastAsiaTheme="minorEastAsia"/>
          <w:bCs/>
          <w:color w:val="000000"/>
          <w:szCs w:val="21"/>
        </w:rPr>
        <w:t>类基金份额销售服务费年费率为</w:t>
      </w:r>
      <w:r>
        <w:rPr>
          <w:rFonts w:hAnsiTheme="minorEastAsia" w:eastAsiaTheme="minorEastAsia"/>
          <w:bCs/>
          <w:color w:val="000000"/>
          <w:szCs w:val="21"/>
        </w:rPr>
        <w:t>0.</w:t>
      </w:r>
      <w:r>
        <w:rPr>
          <w:rFonts w:hint="eastAsia" w:hAnsiTheme="minorEastAsia" w:eastAsiaTheme="minorEastAsia"/>
          <w:bCs/>
          <w:color w:val="000000"/>
          <w:szCs w:val="21"/>
        </w:rPr>
        <w:t>2</w:t>
      </w:r>
      <w:r>
        <w:rPr>
          <w:rFonts w:hAnsiTheme="minorEastAsia" w:eastAsiaTheme="minorEastAsia"/>
          <w:bCs/>
          <w:color w:val="000000"/>
          <w:szCs w:val="21"/>
        </w:rPr>
        <w:t>0%</w:t>
      </w:r>
      <w:r>
        <w:rPr>
          <w:rFonts w:hint="eastAsia" w:hAnsiTheme="minorEastAsia" w:eastAsiaTheme="minorEastAsia"/>
          <w:bCs/>
          <w:color w:val="000000"/>
          <w:szCs w:val="21"/>
        </w:rPr>
        <w:t>。销售服务费计算公式具体如下：</w:t>
      </w:r>
    </w:p>
    <w:p>
      <w:pPr>
        <w:ind w:firstLine="420"/>
        <w:rPr>
          <w:bCs/>
          <w:color w:val="000000"/>
          <w:szCs w:val="21"/>
        </w:rPr>
      </w:pPr>
      <w:r>
        <w:rPr>
          <w:rFonts w:hAnsiTheme="minorEastAsia" w:eastAsiaTheme="minorEastAsia"/>
          <w:bCs/>
          <w:color w:val="000000"/>
          <w:szCs w:val="21"/>
        </w:rPr>
        <w:t>H</w:t>
      </w:r>
      <w:r>
        <w:rPr>
          <w:rFonts w:hint="eastAsia" w:hAnsiTheme="minorEastAsia" w:eastAsiaTheme="minorEastAsia"/>
          <w:bCs/>
          <w:color w:val="000000"/>
          <w:szCs w:val="21"/>
        </w:rPr>
        <w:t>＝</w:t>
      </w:r>
      <w:r>
        <w:rPr>
          <w:rFonts w:hAnsiTheme="minorEastAsia" w:eastAsiaTheme="minorEastAsia"/>
          <w:bCs/>
          <w:color w:val="000000"/>
          <w:szCs w:val="21"/>
        </w:rPr>
        <w:t>E</w:t>
      </w:r>
      <w:r>
        <w:rPr>
          <w:rFonts w:hint="eastAsia" w:hAnsiTheme="minorEastAsia" w:eastAsiaTheme="minorEastAsia"/>
          <w:bCs/>
          <w:color w:val="000000"/>
          <w:szCs w:val="21"/>
        </w:rPr>
        <w:t>×</w:t>
      </w:r>
      <w:r>
        <w:rPr>
          <w:rFonts w:hAnsiTheme="minorEastAsia" w:eastAsiaTheme="minorEastAsia"/>
          <w:bCs/>
          <w:color w:val="000000"/>
          <w:szCs w:val="21"/>
        </w:rPr>
        <w:t>0.</w:t>
      </w:r>
      <w:r>
        <w:rPr>
          <w:rFonts w:hint="eastAsia" w:hAnsiTheme="minorEastAsia" w:eastAsiaTheme="minorEastAsia"/>
          <w:bCs/>
          <w:color w:val="000000"/>
          <w:szCs w:val="21"/>
        </w:rPr>
        <w:t>2</w:t>
      </w:r>
      <w:r>
        <w:rPr>
          <w:rFonts w:hAnsiTheme="minorEastAsia" w:eastAsiaTheme="minorEastAsia"/>
          <w:bCs/>
          <w:color w:val="000000"/>
          <w:szCs w:val="21"/>
        </w:rPr>
        <w:t>0%</w:t>
      </w:r>
      <w:r>
        <w:rPr>
          <w:rFonts w:hint="eastAsia" w:hAnsiTheme="minorEastAsia" w:eastAsiaTheme="minorEastAsia"/>
          <w:bCs/>
          <w:color w:val="000000"/>
          <w:szCs w:val="21"/>
        </w:rPr>
        <w:t>÷当年天数</w:t>
      </w:r>
    </w:p>
    <w:p>
      <w:pPr>
        <w:ind w:firstLine="420"/>
        <w:rPr>
          <w:bCs/>
          <w:color w:val="000000"/>
          <w:szCs w:val="21"/>
        </w:rPr>
      </w:pPr>
      <w:r>
        <w:rPr>
          <w:rFonts w:hAnsiTheme="minorEastAsia" w:eastAsiaTheme="minorEastAsia"/>
          <w:bCs/>
          <w:color w:val="000000"/>
          <w:szCs w:val="21"/>
        </w:rPr>
        <w:t>H</w:t>
      </w:r>
      <w:r>
        <w:rPr>
          <w:rFonts w:hint="eastAsia" w:hAnsiTheme="minorEastAsia" w:eastAsiaTheme="minorEastAsia"/>
          <w:bCs/>
          <w:color w:val="000000"/>
          <w:szCs w:val="21"/>
        </w:rPr>
        <w:t>为每日该类基金份额应计提的基金销售服务费</w:t>
      </w:r>
    </w:p>
    <w:p>
      <w:pPr>
        <w:ind w:firstLine="420"/>
        <w:rPr>
          <w:rFonts w:hint="eastAsia" w:hAnsiTheme="minorEastAsia" w:eastAsiaTheme="minorEastAsia"/>
          <w:bCs/>
          <w:color w:val="000000"/>
          <w:szCs w:val="21"/>
        </w:rPr>
      </w:pPr>
      <w:r>
        <w:rPr>
          <w:rFonts w:hAnsiTheme="minorEastAsia" w:eastAsiaTheme="minorEastAsia"/>
          <w:bCs/>
          <w:color w:val="000000"/>
          <w:szCs w:val="21"/>
        </w:rPr>
        <w:t>E</w:t>
      </w:r>
      <w:r>
        <w:rPr>
          <w:rFonts w:hint="eastAsia" w:hAnsiTheme="minorEastAsia" w:eastAsiaTheme="minorEastAsia"/>
          <w:bCs/>
          <w:color w:val="000000"/>
          <w:szCs w:val="21"/>
        </w:rPr>
        <w:t>为前一日该类基金份额的基金资产净值</w:t>
      </w:r>
    </w:p>
    <w:p>
      <w:pPr>
        <w:ind w:firstLine="420"/>
        <w:rPr>
          <w:rFonts w:hAnsiTheme="minorEastAsia" w:eastAsiaTheme="minorEastAsia"/>
          <w:bCs/>
          <w:color w:val="000000"/>
          <w:szCs w:val="21"/>
        </w:rPr>
      </w:pPr>
      <w:r>
        <w:rPr>
          <w:rFonts w:hint="eastAsia" w:hAnsiTheme="minorEastAsia" w:eastAsiaTheme="minorEastAsia"/>
          <w:bCs/>
          <w:color w:val="000000"/>
          <w:szCs w:val="21"/>
        </w:rPr>
        <w:t>（1）基金管理人的销售服务费的收取与返还机制</w:t>
      </w:r>
    </w:p>
    <w:p>
      <w:pPr>
        <w:ind w:firstLine="420"/>
        <w:rPr>
          <w:rFonts w:hAnsiTheme="minorEastAsia" w:eastAsiaTheme="minorEastAsia"/>
          <w:bCs/>
          <w:color w:val="000000"/>
          <w:szCs w:val="21"/>
        </w:rPr>
      </w:pPr>
      <w:r>
        <w:rPr>
          <w:rFonts w:hint="eastAsia" w:hAnsiTheme="minorEastAsia" w:eastAsiaTheme="minorEastAsia"/>
          <w:bCs/>
          <w:color w:val="000000"/>
          <w:szCs w:val="21"/>
        </w:rPr>
        <w:t>对于通过管理人认购、申购该类基金份额的情况，将先行收取相应的销售服务费，待投资者赎回基金份额或基金合同终止时，该费用将随同赎回款（或清算款）一并返还给投资者。</w:t>
      </w:r>
    </w:p>
    <w:p>
      <w:pPr>
        <w:ind w:firstLine="420"/>
        <w:rPr>
          <w:rFonts w:hint="eastAsia" w:hAnsiTheme="minorEastAsia" w:eastAsiaTheme="minorEastAsia"/>
          <w:bCs/>
          <w:color w:val="000000"/>
          <w:szCs w:val="21"/>
        </w:rPr>
      </w:pPr>
      <w:r>
        <w:rPr>
          <w:rFonts w:hint="eastAsia" w:hAnsiTheme="minorEastAsia" w:eastAsiaTheme="minorEastAsia"/>
          <w:bCs/>
          <w:color w:val="000000"/>
          <w:szCs w:val="21"/>
        </w:rPr>
        <w:t>若遇法定节假日、休息日或不可抗力致使无法按时支付等，支付日期顺延。</w:t>
      </w:r>
    </w:p>
    <w:p>
      <w:pPr>
        <w:ind w:firstLine="420"/>
        <w:rPr>
          <w:rFonts w:hAnsiTheme="minorEastAsia" w:eastAsiaTheme="minorEastAsia"/>
          <w:bCs/>
          <w:color w:val="000000"/>
          <w:szCs w:val="21"/>
        </w:rPr>
      </w:pPr>
      <w:r>
        <w:rPr>
          <w:rFonts w:hint="eastAsia" w:hAnsiTheme="minorEastAsia" w:eastAsiaTheme="minorEastAsia"/>
          <w:bCs/>
          <w:color w:val="000000"/>
          <w:szCs w:val="21"/>
        </w:rPr>
        <w:t>（2）代销机构的销售服务费的收取与返还机制</w:t>
      </w:r>
    </w:p>
    <w:p>
      <w:pPr>
        <w:ind w:firstLine="420"/>
        <w:rPr>
          <w:rFonts w:hAnsiTheme="minorEastAsia" w:eastAsiaTheme="minorEastAsia"/>
          <w:bCs/>
          <w:color w:val="000000"/>
          <w:szCs w:val="21"/>
        </w:rPr>
      </w:pPr>
      <w:r>
        <w:rPr>
          <w:rFonts w:hint="eastAsia" w:hAnsiTheme="minorEastAsia" w:eastAsiaTheme="minorEastAsia"/>
          <w:bCs/>
          <w:color w:val="000000"/>
          <w:szCs w:val="21"/>
        </w:rPr>
        <w:t>对于投资者持续持有期限不足一年（即365天，下同）的基金份额收取的销售服务费，每日计提，逐日累计至每个月月末，按月支付，经基金管理人与基金托管人双方核对无误后，基金托管人按照与基金管理人协商一致的方式于次月初5个工作日内从基金财产中一次性支付。销售服务费由登记机构代收，登记机构收到后按相关合同规定支付给基金销售机构。费用自动扣划后，基金管理人应进行核对，如发现数据不符，应及时联系基金托管人协商解决。若遇法定节假日、休息日或不可抗力致使无法按时支付等，支付日期顺延。</w:t>
      </w:r>
    </w:p>
    <w:p>
      <w:pPr>
        <w:ind w:firstLine="420"/>
        <w:rPr>
          <w:rFonts w:hint="eastAsia" w:hAnsiTheme="minorHAnsi"/>
          <w:bCs/>
          <w:color w:val="000000"/>
          <w:szCs w:val="21"/>
        </w:rPr>
      </w:pPr>
      <w:r>
        <w:rPr>
          <w:rFonts w:hint="eastAsia" w:hAnsiTheme="minorEastAsia" w:eastAsiaTheme="minorEastAsia"/>
          <w:bCs/>
          <w:color w:val="000000"/>
          <w:szCs w:val="21"/>
        </w:rPr>
        <w:t>对于持续持有期限超过一年的基金份额继续收取的销售服务费，在投资者赎回基金份额或基金合同终止时，该费用随赎回款（或清算款）一并返还给投资者。</w:t>
      </w:r>
      <w:bookmarkEnd w:id="115"/>
    </w:p>
    <w:p>
      <w:pPr>
        <w:ind w:firstLine="420"/>
      </w:pPr>
      <w:r>
        <w:rPr>
          <w:rFonts w:hint="eastAsia" w:hAnsiTheme="minorEastAsia" w:eastAsiaTheme="minorEastAsia"/>
        </w:rPr>
        <w:t>4、上述“（一）基金费用的种类”中第4－</w:t>
      </w:r>
      <w:r>
        <w:rPr>
          <w:rFonts w:hAnsiTheme="minorEastAsia" w:eastAsiaTheme="minorEastAsia"/>
        </w:rPr>
        <w:t>1</w:t>
      </w:r>
      <w:r>
        <w:rPr>
          <w:rFonts w:hint="eastAsia" w:hAnsiTheme="minorEastAsia" w:eastAsiaTheme="minorEastAsia"/>
        </w:rPr>
        <w:t>2项费用，根据有关法规及相应协议规定，按费用实际支出金额列入当期费用，由基金托管人从基金财产中支付。</w:t>
      </w:r>
    </w:p>
    <w:p>
      <w:pPr>
        <w:ind w:firstLine="420"/>
        <w:rPr>
          <w:rFonts w:hint="eastAsia" w:hAnsiTheme="minorEastAsia" w:eastAsiaTheme="minorEastAsia"/>
        </w:rPr>
      </w:pPr>
      <w:r>
        <w:rPr>
          <w:rFonts w:hint="eastAsia" w:hAnsiTheme="minorEastAsia" w:eastAsiaTheme="minorEastAsia"/>
        </w:rPr>
        <w:t>基金管理人运用本基金财产申购自身管理的其他基金（ETF 除外），应当通过直销渠道申购且不得收取申购费、赎回费（按照相关法规、基金招募说明书约定应当收取，并计入基金财产的赎回费用除外）、销售服务费等销售费用。</w:t>
      </w:r>
    </w:p>
    <w:p>
      <w:pPr>
        <w:ind w:firstLine="420"/>
      </w:pPr>
      <w:r>
        <w:rPr>
          <w:rFonts w:hAnsiTheme="minorEastAsia" w:eastAsiaTheme="minorEastAsia"/>
        </w:rPr>
        <w:t>（</w:t>
      </w:r>
      <w:r>
        <w:rPr>
          <w:rFonts w:hint="eastAsia" w:hAnsiTheme="minorEastAsia" w:eastAsiaTheme="minorEastAsia"/>
        </w:rPr>
        <w:t>三）不列入基金费用的项目</w:t>
      </w:r>
    </w:p>
    <w:p>
      <w:pPr>
        <w:ind w:firstLine="420"/>
      </w:pPr>
      <w:r>
        <w:rPr>
          <w:rFonts w:hint="eastAsia" w:hAnsiTheme="minorEastAsia" w:eastAsiaTheme="minorEastAsia"/>
        </w:rPr>
        <w:t>下列费用不列入基金费用：</w:t>
      </w:r>
    </w:p>
    <w:p>
      <w:pPr>
        <w:ind w:firstLine="420"/>
      </w:pPr>
      <w:r>
        <w:rPr>
          <w:rFonts w:hint="eastAsia" w:hAnsiTheme="minorEastAsia" w:eastAsiaTheme="minorEastAsia"/>
        </w:rPr>
        <w:t>1、基金管理人和基金托管人因未履行或未完全履行义务导致的费用支出或基金财产的损失；</w:t>
      </w:r>
    </w:p>
    <w:p>
      <w:pPr>
        <w:ind w:firstLine="420"/>
      </w:pPr>
      <w:r>
        <w:rPr>
          <w:rFonts w:hint="eastAsia" w:hAnsiTheme="minorEastAsia" w:eastAsiaTheme="minorEastAsia"/>
        </w:rPr>
        <w:t>2、基金管理人和基金托管人处理与基金运作无关的事项发生的费用；</w:t>
      </w:r>
    </w:p>
    <w:p>
      <w:pPr>
        <w:ind w:firstLine="420"/>
      </w:pPr>
      <w:r>
        <w:rPr>
          <w:rFonts w:hint="eastAsia" w:hAnsiTheme="minorEastAsia" w:eastAsiaTheme="minorEastAsia"/>
        </w:rPr>
        <w:t>3、《基金合同》生效前的律师费、验资费、会计师费和信息披露费用等相关费用；</w:t>
      </w:r>
    </w:p>
    <w:p>
      <w:pPr>
        <w:ind w:firstLine="420"/>
      </w:pPr>
      <w:r>
        <w:rPr>
          <w:rFonts w:hint="eastAsia" w:hAnsiTheme="minorEastAsia" w:eastAsiaTheme="minorEastAsia"/>
        </w:rPr>
        <w:t>4、其他根据相关法律法规及中国证监会的有关规定不得列入基金费用的项目。</w:t>
      </w:r>
    </w:p>
    <w:p>
      <w:pPr>
        <w:ind w:firstLine="420"/>
      </w:pPr>
      <w:r>
        <w:rPr>
          <w:rFonts w:hAnsiTheme="minorEastAsia" w:eastAsiaTheme="minorEastAsia"/>
        </w:rPr>
        <w:t>（</w:t>
      </w:r>
      <w:r>
        <w:rPr>
          <w:rFonts w:hint="eastAsia" w:hAnsiTheme="minorEastAsia" w:eastAsiaTheme="minorEastAsia"/>
        </w:rPr>
        <w:t>四）实施侧袋机制期间的基金费用</w:t>
      </w:r>
    </w:p>
    <w:p>
      <w:pPr>
        <w:ind w:firstLine="420"/>
      </w:pPr>
      <w:r>
        <w:rPr>
          <w:rFonts w:hint="eastAsia" w:hAnsiTheme="minorEastAsia" w:eastAsiaTheme="minorEastAsia"/>
        </w:rPr>
        <w:t>本基金实施侧袋机制的，与侧袋账户有关的费用可以从侧袋账户中列支，但应待侧袋账户资产变现后方可列支，有关费用可酌情收取或减免，但不得收取管理费，其他费用详见招募说明书或相关公告的规定。</w:t>
      </w:r>
    </w:p>
    <w:p>
      <w:pPr>
        <w:ind w:firstLine="420"/>
      </w:pPr>
      <w:r>
        <w:rPr>
          <w:rFonts w:hint="eastAsia" w:hAnsiTheme="minorEastAsia" w:eastAsiaTheme="minorEastAsia"/>
        </w:rPr>
        <w:t>（五）基金税收</w:t>
      </w:r>
    </w:p>
    <w:p>
      <w:pPr>
        <w:ind w:firstLine="420"/>
      </w:pPr>
      <w:r>
        <w:rPr>
          <w:rFonts w:hint="eastAsia" w:hAnsiTheme="minorEastAsia" w:eastAsiaTheme="minorEastAsia"/>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16" w:name="_Toc348082040"/>
      <w:bookmarkStart w:id="117" w:name="_Toc126347220"/>
      <w:r>
        <w:rPr>
          <w:rFonts w:ascii="Times New Roman" w:hAnsiTheme="minorEastAsia" w:eastAsiaTheme="minorEastAsia"/>
          <w:sz w:val="21"/>
          <w:szCs w:val="21"/>
        </w:rPr>
        <w:t>十二、基金份额持有人名册的保管</w:t>
      </w:r>
      <w:bookmarkEnd w:id="116"/>
      <w:bookmarkEnd w:id="117"/>
    </w:p>
    <w:p>
      <w:pPr>
        <w:ind w:firstLine="420"/>
      </w:pPr>
      <w:r>
        <w:rPr>
          <w:rFonts w:hAnsiTheme="minorEastAsia" w:eastAsiaTheme="minorEastAsia"/>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w:t>
      </w:r>
      <w:r>
        <w:rPr>
          <w:rFonts w:hint="eastAsia" w:hAnsiTheme="minorEastAsia" w:eastAsiaTheme="minorEastAsia"/>
        </w:rPr>
        <w:t>法定最低期限</w:t>
      </w:r>
      <w:r>
        <w:rPr>
          <w:rFonts w:hAnsiTheme="minorEastAsia" w:eastAsiaTheme="minorEastAsia"/>
        </w:rPr>
        <w:t>。如不能妥善保管，则按相关法律法规承担责任。</w:t>
      </w:r>
    </w:p>
    <w:p>
      <w:pPr>
        <w:ind w:firstLine="420"/>
      </w:pPr>
      <w:r>
        <w:rPr>
          <w:rFonts w:hAnsiTheme="minorEastAsia" w:eastAsiaTheme="minorEastAsia"/>
        </w:rPr>
        <w:t>在基金托管人要求或编制中期报告和年报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r>
        <w:rPr>
          <w:rFonts w:hint="eastAsia" w:ascii="宋体" w:hAnsiTheme="minorEastAsia" w:eastAsiaTheme="minorEastAsia"/>
        </w:rPr>
        <w:t>，法律法规或监管规则另有规定的，从其规定</w:t>
      </w:r>
      <w:r>
        <w:rPr>
          <w:rFonts w:hAnsiTheme="minorEastAsia" w:eastAsiaTheme="minorEastAsia"/>
        </w:rPr>
        <w:t>。</w:t>
      </w:r>
    </w:p>
    <w:p>
      <w:pPr>
        <w:pStyle w:val="4"/>
        <w:spacing w:before="312" w:after="156" w:line="360" w:lineRule="auto"/>
        <w:ind w:firstLine="420"/>
        <w:jc w:val="center"/>
        <w:rPr>
          <w:rFonts w:ascii="Times New Roman" w:hAnsi="Times New Roman"/>
          <w:sz w:val="21"/>
          <w:szCs w:val="21"/>
        </w:rPr>
      </w:pPr>
      <w:r>
        <w:rPr>
          <w:rFonts w:ascii="Times New Roman" w:hAnsiTheme="minorEastAsia" w:eastAsiaTheme="minorEastAsia"/>
          <w:b w:val="0"/>
          <w:sz w:val="21"/>
          <w:szCs w:val="21"/>
        </w:rPr>
        <w:br w:type="page"/>
      </w:r>
      <w:bookmarkStart w:id="118" w:name="_Toc348082041"/>
      <w:bookmarkStart w:id="119" w:name="_Toc126347221"/>
      <w:r>
        <w:rPr>
          <w:rFonts w:ascii="Times New Roman" w:hAnsiTheme="minorEastAsia" w:eastAsiaTheme="minorEastAsia"/>
          <w:sz w:val="21"/>
          <w:szCs w:val="21"/>
        </w:rPr>
        <w:t>十三、基金有关文件档案的保存</w:t>
      </w:r>
      <w:bookmarkEnd w:id="118"/>
      <w:bookmarkEnd w:id="119"/>
    </w:p>
    <w:p>
      <w:pPr>
        <w:ind w:firstLine="420"/>
      </w:pPr>
      <w:r>
        <w:rPr>
          <w:rFonts w:hAnsiTheme="minorEastAsia" w:eastAsiaTheme="minorEastAsia"/>
        </w:rPr>
        <w:t>（一）档案保存</w:t>
      </w:r>
    </w:p>
    <w:p>
      <w:pPr>
        <w:ind w:firstLine="420"/>
      </w:pPr>
      <w:r>
        <w:rPr>
          <w:rFonts w:hAnsiTheme="minorEastAsia" w:eastAsiaTheme="minorEastAsia"/>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w:t>
      </w:r>
      <w:r>
        <w:rPr>
          <w:rFonts w:hint="eastAsia" w:hAnsiTheme="minorEastAsia" w:eastAsiaTheme="minorEastAsia"/>
        </w:rPr>
        <w:t>法定最低期限</w:t>
      </w:r>
      <w:r>
        <w:rPr>
          <w:rFonts w:hAnsiTheme="minorEastAsia" w:eastAsiaTheme="minorEastAsia"/>
        </w:rPr>
        <w:t>。</w:t>
      </w:r>
    </w:p>
    <w:p>
      <w:pPr>
        <w:ind w:firstLine="420"/>
      </w:pPr>
      <w:r>
        <w:rPr>
          <w:rFonts w:hAnsiTheme="minorEastAsia" w:eastAsiaTheme="minorEastAsia"/>
        </w:rPr>
        <w:t>（二）合同档案的建立</w:t>
      </w:r>
    </w:p>
    <w:p>
      <w:pPr>
        <w:ind w:firstLine="420"/>
      </w:pPr>
      <w:r>
        <w:rPr>
          <w:rFonts w:hAnsiTheme="minorEastAsia" w:eastAsiaTheme="minorEastAsia"/>
        </w:rPr>
        <w:t>1.基金管理人签署重大合同文本后，应及时将合同文本正本送达基金托管人处。</w:t>
      </w:r>
    </w:p>
    <w:p>
      <w:pPr>
        <w:ind w:firstLine="420"/>
      </w:pPr>
      <w:r>
        <w:rPr>
          <w:rFonts w:hAnsiTheme="minorEastAsia" w:eastAsiaTheme="minorEastAsia"/>
        </w:rPr>
        <w:t>2.基金管理人应及时将与本基金账务处理、资金划拨等有关的合同、协议传真</w:t>
      </w:r>
      <w:r>
        <w:rPr>
          <w:rFonts w:hint="eastAsia" w:ascii="宋体" w:hAnsiTheme="minorEastAsia" w:eastAsiaTheme="minorEastAsia"/>
        </w:rPr>
        <w:t>或通过双方均认可的其他方式</w:t>
      </w:r>
      <w:r>
        <w:rPr>
          <w:rFonts w:ascii="宋体" w:hAnsiTheme="minorEastAsia" w:eastAsiaTheme="minorEastAsia"/>
        </w:rPr>
        <w:t>送达</w:t>
      </w:r>
      <w:r>
        <w:rPr>
          <w:rFonts w:hAnsiTheme="minorEastAsia" w:eastAsiaTheme="minorEastAsia"/>
        </w:rPr>
        <w:t>至基金托管人。</w:t>
      </w:r>
    </w:p>
    <w:p>
      <w:pPr>
        <w:ind w:firstLine="420"/>
      </w:pPr>
      <w:r>
        <w:rPr>
          <w:rFonts w:hAnsiTheme="minorEastAsia" w:eastAsiaTheme="minorEastAsia"/>
        </w:rPr>
        <w:t>（三）变更与协助</w:t>
      </w:r>
    </w:p>
    <w:p>
      <w:pPr>
        <w:ind w:firstLine="420"/>
      </w:pPr>
      <w:r>
        <w:rPr>
          <w:rFonts w:hAnsiTheme="minorEastAsia" w:eastAsiaTheme="minorEastAsia"/>
        </w:rPr>
        <w:t>若基金管理人/基金托管人发生变更，未变更的一方有义务协助变更后的接任人接收相应文件。</w:t>
      </w:r>
    </w:p>
    <w:p>
      <w:pPr>
        <w:ind w:firstLine="420"/>
      </w:pPr>
      <w:r>
        <w:rPr>
          <w:rFonts w:hAnsiTheme="minorEastAsia" w:eastAsiaTheme="minorEastAsia"/>
        </w:rPr>
        <w:t>（四）基金管理人和基金托管人应按各自职责完整保存原始凭证、记账凭证、基金账册、交易记录和重要合同等，承担保密义务并保存不少于法定最低期限。</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20" w:name="_Toc348082042"/>
      <w:bookmarkStart w:id="121" w:name="_Toc126347222"/>
      <w:r>
        <w:rPr>
          <w:rFonts w:ascii="Times New Roman" w:hAnsiTheme="minorEastAsia" w:eastAsiaTheme="minorEastAsia"/>
          <w:sz w:val="21"/>
          <w:szCs w:val="21"/>
        </w:rPr>
        <w:t>十四、基金管理人和基金托管人的更换</w:t>
      </w:r>
      <w:bookmarkEnd w:id="120"/>
      <w:bookmarkEnd w:id="121"/>
    </w:p>
    <w:p>
      <w:pPr>
        <w:ind w:firstLine="420"/>
      </w:pPr>
      <w:r>
        <w:rPr>
          <w:rFonts w:hAnsiTheme="minorEastAsia" w:eastAsiaTheme="minorEastAsia"/>
        </w:rPr>
        <w:t>（一）基金管理人职责终止后，仍应妥善保管基金管理业务资料，保证不做出对基金份额持有人的利益造成损害的行为，并与新任基金管理人或临时基金管理人及时办理基金管理业务的移交手续。基金托管人应给予积极配合，并与新任基金管理人或临时基金管理人核对基金资产总值和基金资产净值。</w:t>
      </w:r>
    </w:p>
    <w:p>
      <w:pPr>
        <w:ind w:firstLine="420"/>
      </w:pPr>
      <w:r>
        <w:rPr>
          <w:rFonts w:hAnsiTheme="minorEastAsia" w:eastAsiaTheme="minorEastAsia"/>
        </w:rPr>
        <w:t>（二）基金托管人职责终止后，仍应妥善保管基金财产和基金托管业务资料，保证不做出对基金份额持有人的利益造成损害的行为，并与新任基金托管人或临时基金托管人及时办理基金财产和基金托管业务的移交手续。基金管理人应给予积极配合，并与新任基金托管人或临时基金托管人核对基金资产总值和基金资产净值。</w:t>
      </w:r>
    </w:p>
    <w:p>
      <w:pPr>
        <w:ind w:firstLine="420"/>
      </w:pPr>
      <w:r>
        <w:rPr>
          <w:rFonts w:hAnsiTheme="minorEastAsia" w:eastAsiaTheme="minorEastAsia"/>
        </w:rPr>
        <w:t>（三）其他事宜见基金合同的相关约定。</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22" w:name="_Toc348082043"/>
      <w:bookmarkStart w:id="123" w:name="_Toc126347223"/>
      <w:r>
        <w:rPr>
          <w:rFonts w:ascii="Times New Roman" w:hAnsiTheme="minorEastAsia" w:eastAsiaTheme="minorEastAsia"/>
          <w:sz w:val="21"/>
          <w:szCs w:val="21"/>
        </w:rPr>
        <w:t>十五、禁止行为</w:t>
      </w:r>
      <w:bookmarkEnd w:id="122"/>
      <w:bookmarkEnd w:id="123"/>
    </w:p>
    <w:p>
      <w:pPr>
        <w:ind w:firstLine="420"/>
      </w:pPr>
      <w:r>
        <w:rPr>
          <w:rFonts w:hAnsiTheme="minorEastAsia" w:eastAsiaTheme="minorEastAsia"/>
        </w:rPr>
        <w:t>本协议当事人禁止从事的行为，包括但不限于：</w:t>
      </w:r>
    </w:p>
    <w:p>
      <w:pPr>
        <w:ind w:firstLine="420"/>
      </w:pPr>
      <w:r>
        <w:rPr>
          <w:rFonts w:hAnsiTheme="minorEastAsia" w:eastAsiaTheme="minorEastAsia"/>
        </w:rPr>
        <w:t>（一）基金管理人、基金托管人将其固有财产或者他人财产混同于基金财产从事证券投资。</w:t>
      </w:r>
    </w:p>
    <w:p>
      <w:pPr>
        <w:ind w:firstLine="420"/>
      </w:pPr>
      <w:r>
        <w:rPr>
          <w:rFonts w:hAnsiTheme="minorEastAsia" w:eastAsiaTheme="minorEastAsia"/>
        </w:rPr>
        <w:t>（二）基金管理人不公平地对待其管理的不同基金财产，基金托管人不公平地对待其托管的不同基金财产。</w:t>
      </w:r>
    </w:p>
    <w:p>
      <w:pPr>
        <w:ind w:firstLine="420"/>
      </w:pPr>
      <w:r>
        <w:rPr>
          <w:rFonts w:hAnsiTheme="minorEastAsia" w:eastAsiaTheme="minorEastAsia"/>
        </w:rPr>
        <w:t>（三）基金管理人、基金托管人利用基金财产</w:t>
      </w:r>
      <w:r>
        <w:rPr>
          <w:rFonts w:hint="eastAsia" w:hAnsiTheme="minorEastAsia" w:eastAsiaTheme="minorEastAsia"/>
        </w:rPr>
        <w:t>或职务之便</w:t>
      </w:r>
      <w:r>
        <w:rPr>
          <w:rFonts w:hAnsiTheme="minorEastAsia" w:eastAsiaTheme="minorEastAsia"/>
        </w:rPr>
        <w:t>为基金份额持有人以外的第三人牟取利益。</w:t>
      </w:r>
    </w:p>
    <w:p>
      <w:pPr>
        <w:ind w:firstLine="420"/>
      </w:pPr>
      <w:r>
        <w:rPr>
          <w:rFonts w:hAnsiTheme="minorEastAsia" w:eastAsiaTheme="minorEastAsia"/>
        </w:rPr>
        <w:t>（四）基金管理人、基金托管人向基金份额持有人违规承诺收益或者承担损失。</w:t>
      </w:r>
    </w:p>
    <w:p>
      <w:pPr>
        <w:ind w:firstLine="420"/>
      </w:pPr>
      <w:r>
        <w:rPr>
          <w:rFonts w:hAnsiTheme="minorEastAsia" w:eastAsiaTheme="minorEastAsia"/>
        </w:rPr>
        <w:t>（五）基金管理人、基金托管人对他人泄</w:t>
      </w:r>
      <w:r>
        <w:rPr>
          <w:rFonts w:hint="eastAsia" w:hAnsiTheme="minorEastAsia" w:eastAsiaTheme="minorEastAsia"/>
        </w:rPr>
        <w:t>露</w:t>
      </w:r>
      <w:r>
        <w:rPr>
          <w:rFonts w:hAnsiTheme="minorEastAsia" w:eastAsiaTheme="minorEastAsia"/>
        </w:rPr>
        <w:t>基金运作和管理过程中任何尚未按法律法规规定的方式公开披露的信息。</w:t>
      </w:r>
    </w:p>
    <w:p>
      <w:pPr>
        <w:ind w:firstLine="420"/>
      </w:pPr>
      <w:r>
        <w:rPr>
          <w:rFonts w:hAnsiTheme="minorEastAsia" w:eastAsiaTheme="minorEastAsia"/>
        </w:rPr>
        <w:t>（六）基金管理人在没有充足资金的情况下向基金托管人发出投资指令和付款指令，或违规向基金托管人发出指令。</w:t>
      </w:r>
    </w:p>
    <w:p>
      <w:pPr>
        <w:ind w:firstLine="420"/>
      </w:pPr>
      <w:r>
        <w:rPr>
          <w:rFonts w:hAnsiTheme="minorEastAsia" w:eastAsiaTheme="minorEastAsia"/>
        </w:rPr>
        <w:t>（七）基金管理人、基金托管人在行政上、财务上不独立，其</w:t>
      </w:r>
      <w:r>
        <w:rPr>
          <w:rFonts w:hint="eastAsia" w:hAnsiTheme="minorEastAsia" w:eastAsiaTheme="minorEastAsia"/>
        </w:rPr>
        <w:t>董事、监事、</w:t>
      </w:r>
      <w:r>
        <w:rPr>
          <w:rFonts w:hAnsiTheme="minorEastAsia" w:eastAsiaTheme="minorEastAsia"/>
        </w:rPr>
        <w:t>高级管理人员和其他从业人员相互兼职。</w:t>
      </w:r>
    </w:p>
    <w:p>
      <w:pPr>
        <w:ind w:firstLine="420"/>
      </w:pPr>
      <w:r>
        <w:rPr>
          <w:rFonts w:hAnsiTheme="minorEastAsia" w:eastAsiaTheme="minorEastAsia"/>
        </w:rPr>
        <w:t>（八）基金托管人私自动用或处分基金财产，根据基金管理人的合法指令、基金合同或托管协议的规定进行处分的除外。</w:t>
      </w:r>
    </w:p>
    <w:p>
      <w:pPr>
        <w:ind w:firstLine="420"/>
      </w:pPr>
      <w:r>
        <w:rPr>
          <w:rFonts w:hAnsiTheme="minorEastAsia" w:eastAsiaTheme="minorEastAsia"/>
        </w:rPr>
        <w:t>（九）法律法规和基金合同禁止的其他行为，以及依照法律、行政法规有关规定，由中国证监会规定禁止基金管理人、基金托管人从事的其他行为。</w:t>
      </w:r>
    </w:p>
    <w:p>
      <w:pPr>
        <w:pStyle w:val="4"/>
        <w:spacing w:before="312" w:after="156" w:line="360" w:lineRule="auto"/>
        <w:ind w:firstLine="420"/>
        <w:jc w:val="center"/>
        <w:rPr>
          <w:rFonts w:ascii="Times New Roman" w:hAnsi="Times New Roman" w:eastAsia="宋体"/>
          <w:sz w:val="21"/>
          <w:szCs w:val="21"/>
        </w:rPr>
      </w:pPr>
      <w:r>
        <w:rPr>
          <w:rFonts w:ascii="Times New Roman" w:hAnsiTheme="minorEastAsia" w:eastAsiaTheme="minorEastAsia"/>
          <w:b w:val="0"/>
          <w:sz w:val="21"/>
          <w:szCs w:val="21"/>
        </w:rPr>
        <w:br w:type="page"/>
      </w:r>
      <w:bookmarkStart w:id="124" w:name="_Toc348082044"/>
      <w:bookmarkStart w:id="125" w:name="_Toc126347224"/>
      <w:r>
        <w:rPr>
          <w:rFonts w:ascii="Times New Roman" w:hAnsiTheme="minorEastAsia" w:eastAsiaTheme="minorEastAsia"/>
          <w:sz w:val="21"/>
          <w:szCs w:val="21"/>
        </w:rPr>
        <w:t>十六、托管协议的变更、终止与基金财产的清算</w:t>
      </w:r>
      <w:bookmarkEnd w:id="124"/>
      <w:bookmarkEnd w:id="125"/>
    </w:p>
    <w:p>
      <w:pPr>
        <w:ind w:firstLine="420"/>
      </w:pPr>
      <w:r>
        <w:rPr>
          <w:rFonts w:hAnsiTheme="minorEastAsia" w:eastAsiaTheme="minorEastAsia"/>
        </w:rPr>
        <w:t>（一）托管协议的变更程序</w:t>
      </w:r>
    </w:p>
    <w:p>
      <w:pPr>
        <w:ind w:firstLine="420"/>
      </w:pPr>
      <w:r>
        <w:rPr>
          <w:rFonts w:hAnsiTheme="minorEastAsia" w:eastAsiaTheme="minorEastAsia"/>
        </w:rPr>
        <w:t>本协议双方当事人经协商一致，可以对协议进行修改。修改后的新协议，其内容不得与基金合同的规定有任何冲突。基金托管协议的变更应报中国证监会备案</w:t>
      </w:r>
      <w:r>
        <w:rPr>
          <w:rFonts w:hint="eastAsia" w:hAnsiTheme="minorEastAsia" w:eastAsiaTheme="minorEastAsia"/>
        </w:rPr>
        <w:t>（如需）</w:t>
      </w:r>
      <w:r>
        <w:rPr>
          <w:rFonts w:hAnsiTheme="minorEastAsia" w:eastAsiaTheme="minorEastAsia"/>
        </w:rPr>
        <w:t>。</w:t>
      </w:r>
    </w:p>
    <w:p>
      <w:pPr>
        <w:ind w:firstLine="420"/>
      </w:pPr>
      <w:r>
        <w:rPr>
          <w:rFonts w:hAnsiTheme="minorEastAsia" w:eastAsiaTheme="minorEastAsia"/>
        </w:rPr>
        <w:t>（二）基金托管协议终止的情形</w:t>
      </w:r>
    </w:p>
    <w:p>
      <w:pPr>
        <w:ind w:firstLine="420"/>
      </w:pPr>
      <w:r>
        <w:rPr>
          <w:rFonts w:hAnsiTheme="minorEastAsia" w:eastAsiaTheme="minorEastAsia"/>
        </w:rPr>
        <w:t>1、《基金合同》终止；</w:t>
      </w:r>
    </w:p>
    <w:p>
      <w:pPr>
        <w:ind w:firstLine="420"/>
      </w:pPr>
      <w:r>
        <w:rPr>
          <w:rFonts w:hAnsiTheme="minorEastAsia" w:eastAsiaTheme="minorEastAsia"/>
        </w:rPr>
        <w:t>2、基金托管人因解散、破产、撤销等事由，不能继续担任基金托管人的职务，而在6个月内无其他适当的托管机构承接其原有权利义务；</w:t>
      </w:r>
    </w:p>
    <w:p>
      <w:pPr>
        <w:ind w:firstLine="420"/>
      </w:pPr>
      <w:r>
        <w:rPr>
          <w:rFonts w:hAnsiTheme="minorEastAsia" w:eastAsiaTheme="minorEastAsia"/>
        </w:rPr>
        <w:t>3、基金管理人因解散、破产、撤销等事由，不能继续担任基金管理人的职务，而在6个月内无其他适当的基金管理公司承接其原有权利义务；</w:t>
      </w:r>
    </w:p>
    <w:p>
      <w:pPr>
        <w:ind w:firstLine="420"/>
      </w:pPr>
      <w:r>
        <w:rPr>
          <w:rFonts w:hAnsiTheme="minorEastAsia" w:eastAsiaTheme="minorEastAsia"/>
        </w:rPr>
        <w:t>4、发生法律法规或《基金合同》规定的其他终止事项。</w:t>
      </w:r>
    </w:p>
    <w:p>
      <w:pPr>
        <w:ind w:firstLine="420"/>
      </w:pPr>
      <w:r>
        <w:rPr>
          <w:rFonts w:hAnsiTheme="minorEastAsia" w:eastAsiaTheme="minorEastAsia"/>
        </w:rPr>
        <w:t>（三）基金财产的清算</w:t>
      </w:r>
    </w:p>
    <w:p>
      <w:pPr>
        <w:ind w:firstLine="420"/>
      </w:pPr>
      <w:r>
        <w:rPr>
          <w:rFonts w:hAnsiTheme="minorEastAsia" w:eastAsiaTheme="minorEastAsia"/>
        </w:rPr>
        <w:t>基金管理人与基金托管人按照《基金合同》的约定处理基金财产的清算。</w:t>
      </w:r>
    </w:p>
    <w:p>
      <w:pPr>
        <w:ind w:firstLine="420"/>
        <w:rPr>
          <w:szCs w:val="21"/>
        </w:rPr>
      </w:pP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26" w:name="_Toc348082045"/>
      <w:bookmarkStart w:id="127" w:name="_Toc126347225"/>
      <w:r>
        <w:rPr>
          <w:rFonts w:ascii="Times New Roman" w:hAnsiTheme="minorEastAsia" w:eastAsiaTheme="minorEastAsia"/>
          <w:sz w:val="21"/>
          <w:szCs w:val="21"/>
        </w:rPr>
        <w:t>十七、违约责任</w:t>
      </w:r>
      <w:bookmarkEnd w:id="126"/>
      <w:bookmarkEnd w:id="127"/>
    </w:p>
    <w:p>
      <w:pPr>
        <w:ind w:firstLine="420"/>
      </w:pPr>
      <w:r>
        <w:rPr>
          <w:rFonts w:hAnsiTheme="minorEastAsia" w:eastAsiaTheme="minorEastAsia"/>
        </w:rPr>
        <w:t>（一）基金管理人、基金托管人不履行本协议或履行本协议不符合约定的，应当承担违约责任。</w:t>
      </w:r>
    </w:p>
    <w:p>
      <w:pPr>
        <w:ind w:firstLine="420"/>
      </w:pPr>
      <w:r>
        <w:rPr>
          <w:rFonts w:hAnsiTheme="minorEastAsia" w:eastAsiaTheme="minorEastAsia"/>
        </w:rPr>
        <w:t>（二）基金管理人、基金托管人在履行各自职责的过程中，违反《基金法》</w:t>
      </w:r>
      <w:r>
        <w:rPr>
          <w:rFonts w:hint="eastAsia" w:ascii="宋体" w:hAnsiTheme="minorEastAsia" w:eastAsiaTheme="minorEastAsia"/>
        </w:rPr>
        <w:t>等法律法规的规定</w:t>
      </w:r>
      <w:r>
        <w:rPr>
          <w:rFonts w:hint="eastAsia" w:ascii="宋体" w:cs="Arial" w:hAnsiTheme="minorEastAsia" w:eastAsiaTheme="minorEastAsia"/>
        </w:rPr>
        <w:t>、</w:t>
      </w:r>
      <w:r>
        <w:rPr>
          <w:rFonts w:hAnsiTheme="minorEastAsia" w:eastAsiaTheme="minorEastAsia"/>
        </w:rPr>
        <w:t>《基金合同》和本托管协议约定，给基金财产或者基金份额持有人造成损害的，应当分别对各自的行为依法承担赔偿责任；因共同行为给基金财产或者基金份额持有人造成损害的，应当承担连带赔偿责任</w:t>
      </w:r>
      <w:r>
        <w:rPr>
          <w:rFonts w:hint="eastAsia" w:hAnsiTheme="minorEastAsia" w:eastAsiaTheme="minorEastAsia"/>
        </w:rPr>
        <w:t>。</w:t>
      </w:r>
      <w:r>
        <w:rPr>
          <w:rFonts w:hAnsiTheme="minorEastAsia" w:eastAsiaTheme="minorEastAsia"/>
        </w:rPr>
        <w:t>对损失的赔偿，仅限于直接损失。</w:t>
      </w:r>
      <w:r>
        <w:rPr>
          <w:rFonts w:hint="eastAsia" w:hAnsiTheme="minorEastAsia" w:eastAsiaTheme="minorEastAsia"/>
        </w:rPr>
        <w:t>一方承担连带责任后有权根据另一方过错程度向另一方追偿。</w:t>
      </w:r>
    </w:p>
    <w:p>
      <w:pPr>
        <w:ind w:firstLine="420"/>
      </w:pPr>
      <w:r>
        <w:rPr>
          <w:rFonts w:hAnsiTheme="minorEastAsia" w:eastAsiaTheme="minorEastAsia"/>
        </w:rPr>
        <w:t>（三）一方当事人违约，给另一方当事人或基金财产造成损失的，应就直接损失进行赔偿，另一方当事人有权利及义务代表基金向违约方追偿。但是如发生下列情况，</w:t>
      </w:r>
      <w:r>
        <w:rPr>
          <w:rFonts w:hint="eastAsia" w:hAnsiTheme="minorEastAsia" w:eastAsiaTheme="minorEastAsia"/>
        </w:rPr>
        <w:t>相应的</w:t>
      </w:r>
      <w:r>
        <w:rPr>
          <w:rFonts w:hAnsiTheme="minorEastAsia" w:eastAsiaTheme="minorEastAsia"/>
        </w:rPr>
        <w:t>当事人免责：</w:t>
      </w:r>
    </w:p>
    <w:p>
      <w:pPr>
        <w:ind w:firstLine="420"/>
      </w:pPr>
      <w:r>
        <w:rPr>
          <w:rFonts w:hAnsiTheme="minorEastAsia" w:eastAsiaTheme="minorEastAsia"/>
        </w:rPr>
        <w:t>1、基金管理人</w:t>
      </w:r>
      <w:r>
        <w:rPr>
          <w:rFonts w:hint="eastAsia" w:hAnsiTheme="minorEastAsia" w:eastAsiaTheme="minorEastAsia"/>
        </w:rPr>
        <w:t>或/</w:t>
      </w:r>
      <w:r>
        <w:rPr>
          <w:rFonts w:hAnsiTheme="minorEastAsia" w:eastAsiaTheme="minorEastAsia"/>
        </w:rPr>
        <w:t>及基金托管人按照当时有效的法律法规或中国证监会的规定作为或不作为而造成的损失等；</w:t>
      </w:r>
    </w:p>
    <w:p>
      <w:pPr>
        <w:ind w:firstLine="420"/>
      </w:pPr>
      <w:r>
        <w:rPr>
          <w:rFonts w:hAnsiTheme="minorEastAsia" w:eastAsiaTheme="minorEastAsia"/>
        </w:rPr>
        <w:t>2、基金管理人由于按照《基金合同》规定的投资原则而行使或不行使其投资权而造成的损失等；</w:t>
      </w:r>
    </w:p>
    <w:p>
      <w:pPr>
        <w:ind w:firstLine="420"/>
      </w:pPr>
      <w:r>
        <w:rPr>
          <w:rFonts w:hAnsiTheme="minorEastAsia" w:eastAsiaTheme="minorEastAsia"/>
        </w:rPr>
        <w:t>3、不可抗力。</w:t>
      </w:r>
    </w:p>
    <w:p>
      <w:pPr>
        <w:ind w:firstLine="420"/>
      </w:pPr>
      <w:r>
        <w:rPr>
          <w:rFonts w:hAnsiTheme="minorEastAsia" w:eastAsiaTheme="minorEastAsia"/>
        </w:rPr>
        <w:t>（四）一方当事人违约，</w:t>
      </w:r>
      <w:r>
        <w:rPr>
          <w:rFonts w:hint="eastAsia" w:hAnsiTheme="minorEastAsia" w:eastAsiaTheme="minorEastAsia"/>
        </w:rPr>
        <w:t>非违约方</w:t>
      </w:r>
      <w:r>
        <w:rPr>
          <w:rFonts w:hAnsiTheme="minorEastAsia" w:eastAsiaTheme="minorEastAsia"/>
        </w:rPr>
        <w:t>当事人在职责范围内有义务及时采取必要的措施，尽力防止损失的扩大。</w:t>
      </w:r>
      <w:r>
        <w:rPr>
          <w:rFonts w:hint="eastAsia" w:hAnsiTheme="minorEastAsia" w:eastAsiaTheme="minorEastAsia"/>
        </w:rPr>
        <w:t>没有采取适当措施致使损失进一步扩大的，不得就扩大的损失要求赔偿。非违约方因防止损失扩大而支出的合理费用由违约方承担。</w:t>
      </w:r>
    </w:p>
    <w:p>
      <w:pPr>
        <w:ind w:firstLine="420"/>
      </w:pPr>
      <w:r>
        <w:rPr>
          <w:rFonts w:hAnsiTheme="minorEastAsia" w:eastAsiaTheme="minorEastAsia"/>
        </w:rPr>
        <w:t>（五）违约行为虽已发生，但本托管协议能够继续履行的，在最大限度地保护基金份额持有人利益的前提下，基金管理人和基金托管人应当继续履行本协议。若基金管理人或基金托管人因履行本协议而被起诉，另一方应提供合理的必要支持。</w:t>
      </w:r>
    </w:p>
    <w:p>
      <w:pPr>
        <w:ind w:firstLine="420"/>
      </w:pPr>
      <w:r>
        <w:rPr>
          <w:rFonts w:hAnsiTheme="minorEastAsia" w:eastAsiaTheme="minorEastAsia"/>
        </w:rPr>
        <w:t>（六）由于基金管理人、基金托管人不可控制的因素导致业务出现差错，基金管理人和基金托管人虽然已经采取必要、适当、合理的措施进行检查，但是未能发现错误</w:t>
      </w:r>
      <w:bookmarkStart w:id="128" w:name="_Hlk198906681"/>
      <w:r>
        <w:rPr>
          <w:rFonts w:hint="eastAsia" w:hAnsiTheme="minorEastAsia" w:eastAsiaTheme="minorEastAsia"/>
        </w:rPr>
        <w:t>或因前述原因未能避免或更正错误</w:t>
      </w:r>
      <w:bookmarkEnd w:id="128"/>
      <w:r>
        <w:rPr>
          <w:rFonts w:hAnsiTheme="minorEastAsia" w:eastAsiaTheme="minorEastAsia"/>
        </w:rPr>
        <w:t>的，由此造成基金财产或投资人损失，基金管理人和基金托管人免除赔偿责任。但是基金管理人和基金托管人应积极采取必要的措施减轻或消除由此造成的影响。</w:t>
      </w:r>
    </w:p>
    <w:p>
      <w:pPr>
        <w:widowControl/>
        <w:spacing w:line="240" w:lineRule="auto"/>
        <w:ind w:firstLine="0"/>
        <w:jc w:val="left"/>
        <w:rPr>
          <w:b/>
          <w:szCs w:val="21"/>
        </w:rPr>
      </w:pPr>
      <w:bookmarkStart w:id="129" w:name="_Toc348082046"/>
      <w:bookmarkStart w:id="130" w:name="_Toc126347226"/>
      <w:r>
        <w:rPr>
          <w:rFonts w:hAnsiTheme="minorEastAsia" w:eastAsiaTheme="minorEastAsia"/>
          <w:szCs w:val="21"/>
        </w:rPr>
        <w:br w:type="page"/>
      </w: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t>十八、争议解决方式</w:t>
      </w:r>
      <w:bookmarkEnd w:id="129"/>
      <w:bookmarkEnd w:id="130"/>
    </w:p>
    <w:p>
      <w:pPr>
        <w:ind w:firstLine="420"/>
        <w:jc w:val="left"/>
      </w:pPr>
      <w:r>
        <w:rPr>
          <w:rFonts w:hint="eastAsia" w:hAnsiTheme="minorEastAsia" w:eastAsiaTheme="minorEastAsia"/>
        </w:rPr>
        <w:t>双</w:t>
      </w:r>
      <w:r>
        <w:rPr>
          <w:rFonts w:hAnsiTheme="minorEastAsia" w:eastAsiaTheme="minorEastAsia"/>
        </w:rPr>
        <w:t>方当事人同意，因本协议而产生的或与本协议有关的一切争议，如经友好协商</w:t>
      </w:r>
      <w:r>
        <w:rPr>
          <w:rFonts w:hint="eastAsia" w:hAnsiTheme="minorEastAsia" w:eastAsiaTheme="minorEastAsia"/>
        </w:rPr>
        <w:t>、调解</w:t>
      </w:r>
      <w:r>
        <w:rPr>
          <w:rFonts w:hAnsiTheme="minorEastAsia" w:eastAsiaTheme="minorEastAsia"/>
        </w:rPr>
        <w:t>未能解决的，任何一方均</w:t>
      </w:r>
      <w:r>
        <w:rPr>
          <w:rFonts w:hint="eastAsia" w:hAnsiTheme="minorEastAsia" w:eastAsiaTheme="minorEastAsia"/>
        </w:rPr>
        <w:t>应</w:t>
      </w:r>
      <w:r>
        <w:rPr>
          <w:rFonts w:hAnsiTheme="minorEastAsia" w:eastAsiaTheme="minorEastAsia"/>
        </w:rPr>
        <w:t>将争议</w:t>
      </w:r>
      <w:r>
        <w:rPr>
          <w:rFonts w:hint="eastAsia" w:hAnsiTheme="minorEastAsia" w:eastAsiaTheme="minorEastAsia"/>
        </w:rPr>
        <w:t>提交北京仲裁委员会，仲裁地点为北京市，按照北京仲裁委员会届时有效的仲裁规则进行仲裁。仲裁裁决是终局的，对当事人均有约束力， 除非仲裁裁决另有规定，仲裁费用和律师费用由败诉方承担。</w:t>
      </w:r>
    </w:p>
    <w:p>
      <w:pPr>
        <w:ind w:firstLine="420"/>
      </w:pPr>
      <w:r>
        <w:rPr>
          <w:rFonts w:hAnsiTheme="minorEastAsia" w:eastAsiaTheme="minorEastAsia"/>
        </w:rPr>
        <w:t>争议处理期间，</w:t>
      </w:r>
      <w:r>
        <w:rPr>
          <w:rFonts w:hint="eastAsia" w:hAnsiTheme="minorEastAsia" w:eastAsiaTheme="minorEastAsia"/>
        </w:rPr>
        <w:t>基金管理人、基金托管人应恪守各自的职责</w:t>
      </w:r>
      <w:r>
        <w:rPr>
          <w:rFonts w:hAnsiTheme="minorEastAsia" w:eastAsiaTheme="minorEastAsia"/>
        </w:rPr>
        <w:t>，继续忠实、勤勉、尽责地履行基金合同和本托管协议规定的义务，维护基金份额持有人的合法权益。</w:t>
      </w:r>
    </w:p>
    <w:p>
      <w:pPr>
        <w:ind w:firstLine="420"/>
      </w:pPr>
      <w:r>
        <w:rPr>
          <w:rFonts w:hint="eastAsia" w:hAnsiTheme="minorEastAsia" w:eastAsiaTheme="minorEastAsia"/>
        </w:rPr>
        <w:t>除争议所涉内容之外，本协议的其他部分应当由本协议当事人继续履行。</w:t>
      </w:r>
    </w:p>
    <w:p>
      <w:pPr>
        <w:ind w:firstLine="420"/>
      </w:pPr>
      <w:r>
        <w:rPr>
          <w:rFonts w:hAnsiTheme="minorEastAsia" w:eastAsiaTheme="minorEastAsia"/>
        </w:rPr>
        <w:t>本协议受中华人民共和国法律（</w:t>
      </w:r>
      <w:r>
        <w:rPr>
          <w:rFonts w:hint="eastAsia" w:hAnsiTheme="minorEastAsia" w:eastAsiaTheme="minorEastAsia"/>
        </w:rPr>
        <w:t>为本协议之目的，</w:t>
      </w:r>
      <w:r>
        <w:rPr>
          <w:rFonts w:hAnsiTheme="minorEastAsia" w:eastAsiaTheme="minorEastAsia"/>
        </w:rPr>
        <w:t>不含港澳台立法）管辖</w:t>
      </w:r>
      <w:r>
        <w:rPr>
          <w:rFonts w:hint="eastAsia" w:hAnsiTheme="minorEastAsia" w:eastAsiaTheme="minorEastAsia"/>
        </w:rPr>
        <w:t>并从其解释</w:t>
      </w:r>
      <w:r>
        <w:rPr>
          <w:rFonts w:hAnsiTheme="minorEastAsia" w:eastAsiaTheme="minorEastAsia"/>
        </w:rPr>
        <w:t>。</w:t>
      </w: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31" w:name="_Toc348082047"/>
      <w:bookmarkStart w:id="132" w:name="_Toc126347227"/>
      <w:r>
        <w:rPr>
          <w:rFonts w:ascii="Times New Roman" w:hAnsiTheme="minorEastAsia" w:eastAsiaTheme="minorEastAsia"/>
          <w:sz w:val="21"/>
          <w:szCs w:val="21"/>
        </w:rPr>
        <w:t>十九、托管协议的效力</w:t>
      </w:r>
      <w:bookmarkEnd w:id="131"/>
      <w:bookmarkEnd w:id="132"/>
    </w:p>
    <w:p>
      <w:pPr>
        <w:ind w:firstLine="420"/>
      </w:pPr>
      <w:r>
        <w:rPr>
          <w:rFonts w:hAnsiTheme="minorEastAsia" w:eastAsiaTheme="minorEastAsia"/>
        </w:rPr>
        <w:t>双方对托管协议的效力约定如下：</w:t>
      </w:r>
    </w:p>
    <w:p>
      <w:pPr>
        <w:ind w:firstLine="420"/>
      </w:pPr>
      <w:r>
        <w:rPr>
          <w:rFonts w:hAnsiTheme="minorEastAsia" w:eastAsiaTheme="minorEastAsia"/>
        </w:rPr>
        <w:t>（一）基金管理人在向中国证监会申请</w:t>
      </w:r>
      <w:r>
        <w:rPr>
          <w:rFonts w:hint="eastAsia" w:hAnsiTheme="minorEastAsia" w:eastAsiaTheme="minorEastAsia"/>
        </w:rPr>
        <w:t>基金募集注册</w:t>
      </w:r>
      <w:r>
        <w:rPr>
          <w:rFonts w:hAnsiTheme="minorEastAsia" w:eastAsiaTheme="minorEastAsia"/>
        </w:rPr>
        <w:t>时提交的托管协议草案，应经托管协议当事人双方盖章以及双方法定代表人或授权代表签</w:t>
      </w:r>
      <w:r>
        <w:rPr>
          <w:rFonts w:hint="eastAsia" w:hAnsiTheme="minorEastAsia" w:eastAsiaTheme="minorEastAsia"/>
        </w:rPr>
        <w:t>章</w:t>
      </w:r>
      <w:r>
        <w:rPr>
          <w:rFonts w:hAnsiTheme="minorEastAsia" w:eastAsiaTheme="minorEastAsia"/>
        </w:rPr>
        <w:t>，协议当事人双方根据中国证监会的意见修改并正式签署托管协议。托管协议以中国证监会注册的文本为正式文本。</w:t>
      </w:r>
    </w:p>
    <w:p>
      <w:pPr>
        <w:ind w:firstLine="420"/>
      </w:pPr>
      <w:r>
        <w:rPr>
          <w:rFonts w:hAnsiTheme="minorEastAsia" w:eastAsiaTheme="minorEastAsia"/>
        </w:rPr>
        <w:t>（二）托管协议自基金合同成立之日起成立，自基金合同生效之日起生效。托管协议的有效期自其生效之日起至基金财产清算结果报中国证监会备案并公告之日止。</w:t>
      </w:r>
    </w:p>
    <w:p>
      <w:pPr>
        <w:ind w:firstLine="420"/>
      </w:pPr>
      <w:r>
        <w:rPr>
          <w:rFonts w:hAnsiTheme="minorEastAsia" w:eastAsiaTheme="minorEastAsia"/>
        </w:rPr>
        <w:t>（三）托管协议自生效之日起对托管协议当事人具有同等的法律约束力。</w:t>
      </w:r>
    </w:p>
    <w:p>
      <w:pPr>
        <w:ind w:firstLine="420"/>
        <w:rPr>
          <w:szCs w:val="21"/>
        </w:rPr>
      </w:pPr>
      <w:r>
        <w:rPr>
          <w:rFonts w:hAnsiTheme="minorEastAsia" w:eastAsiaTheme="minorEastAsia"/>
        </w:rPr>
        <w:t>（四）本协议一式三份，协议双方各持一份，由基金管理人根据需要上报监管机构一份，每份具有同等法律效力。</w:t>
      </w: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33" w:name="_Toc348082048"/>
      <w:bookmarkStart w:id="134" w:name="_Toc126347228"/>
      <w:r>
        <w:rPr>
          <w:rFonts w:ascii="Times New Roman" w:hAnsiTheme="minorEastAsia" w:eastAsiaTheme="minorEastAsia"/>
          <w:sz w:val="21"/>
          <w:szCs w:val="21"/>
        </w:rPr>
        <w:t>二十、其他事项</w:t>
      </w:r>
      <w:bookmarkEnd w:id="133"/>
      <w:bookmarkEnd w:id="134"/>
    </w:p>
    <w:p>
      <w:pPr>
        <w:ind w:firstLine="420"/>
      </w:pPr>
      <w:r>
        <w:rPr>
          <w:rFonts w:hAnsiTheme="minorEastAsia" w:eastAsiaTheme="minorEastAsia"/>
        </w:rPr>
        <w:t>如发生有权司法机关依法冻结基金份额持有人的基金份额时，基金管理人</w:t>
      </w:r>
      <w:r>
        <w:rPr>
          <w:rFonts w:hint="eastAsia" w:hAnsiTheme="minorEastAsia" w:eastAsiaTheme="minorEastAsia"/>
        </w:rPr>
        <w:t>、基金托管人</w:t>
      </w:r>
      <w:r>
        <w:rPr>
          <w:rFonts w:hAnsiTheme="minorEastAsia" w:eastAsiaTheme="minorEastAsia"/>
        </w:rPr>
        <w:t>应予以配合，承担司法协助义务。</w:t>
      </w:r>
    </w:p>
    <w:p>
      <w:pPr>
        <w:ind w:firstLine="420"/>
        <w:rPr>
          <w:bCs/>
          <w:szCs w:val="21"/>
        </w:rPr>
      </w:pPr>
      <w:r>
        <w:rPr>
          <w:rFonts w:hAnsiTheme="minorEastAsia" w:eastAsiaTheme="minorEastAsia"/>
        </w:rPr>
        <w:t>除本协议有明确定义外，本协议的用语定义适用基金合同的约定。本协议未尽事宜，当事人依据基金合同、有关法律法规等规定协商办理。</w:t>
      </w:r>
      <w:r>
        <w:rPr>
          <w:rFonts w:hAnsiTheme="minorEastAsia" w:eastAsiaTheme="minorEastAsia"/>
          <w:bCs/>
          <w:szCs w:val="21"/>
        </w:rPr>
        <w:t xml:space="preserve"> </w:t>
      </w:r>
    </w:p>
    <w:p>
      <w:pPr>
        <w:pStyle w:val="4"/>
        <w:spacing w:before="312" w:after="156" w:line="360" w:lineRule="auto"/>
        <w:ind w:firstLine="422"/>
        <w:jc w:val="center"/>
        <w:rPr>
          <w:rFonts w:ascii="Times New Roman" w:hAnsi="Times New Roman" w:eastAsia="宋体"/>
          <w:sz w:val="21"/>
          <w:szCs w:val="21"/>
        </w:rPr>
      </w:pPr>
      <w:r>
        <w:rPr>
          <w:rFonts w:ascii="Times New Roman" w:hAnsiTheme="minorEastAsia" w:eastAsiaTheme="minorEastAsia"/>
          <w:sz w:val="21"/>
          <w:szCs w:val="21"/>
        </w:rPr>
        <w:br w:type="page"/>
      </w:r>
      <w:bookmarkStart w:id="135" w:name="_Toc126347229"/>
      <w:bookmarkStart w:id="136" w:name="_Toc348082049"/>
      <w:r>
        <w:rPr>
          <w:rFonts w:ascii="Times New Roman" w:hAnsiTheme="minorEastAsia" w:eastAsiaTheme="minorEastAsia"/>
          <w:sz w:val="21"/>
          <w:szCs w:val="21"/>
        </w:rPr>
        <w:t>二十一、托管协议的签订</w:t>
      </w:r>
      <w:bookmarkEnd w:id="135"/>
      <w:bookmarkEnd w:id="136"/>
    </w:p>
    <w:p>
      <w:pPr>
        <w:ind w:firstLine="420"/>
        <w:sectPr>
          <w:footerReference r:id="rId13" w:type="default"/>
          <w:pgSz w:w="11906" w:h="16838"/>
          <w:pgMar w:top="1418" w:right="1701" w:bottom="1418" w:left="1701" w:header="851" w:footer="992" w:gutter="0"/>
          <w:cols w:space="425" w:num="1"/>
          <w:docGrid w:linePitch="360" w:charSpace="0"/>
        </w:sectPr>
      </w:pPr>
      <w:r>
        <w:rPr>
          <w:rFonts w:hAnsiTheme="minorEastAsia" w:eastAsiaTheme="minorEastAsia"/>
        </w:rPr>
        <w:t>本协议双方法定代表人或授权代表人签字</w:t>
      </w:r>
      <w:r>
        <w:rPr>
          <w:rFonts w:hint="eastAsia" w:hAnsiTheme="minorEastAsia" w:eastAsiaTheme="minorEastAsia"/>
        </w:rPr>
        <w:t>（章）</w:t>
      </w:r>
      <w:r>
        <w:rPr>
          <w:rFonts w:hAnsiTheme="minorEastAsia" w:eastAsiaTheme="minorEastAsia"/>
        </w:rPr>
        <w:t>、签订地、签订日</w:t>
      </w:r>
    </w:p>
    <w:p>
      <w:pPr>
        <w:ind w:right="26" w:firstLine="420"/>
        <w:rPr>
          <w:rFonts w:hint="eastAsia" w:ascii="宋体" w:hAnsi="宋体"/>
          <w:color w:val="000000"/>
          <w:szCs w:val="21"/>
        </w:rPr>
      </w:pPr>
      <w:bookmarkStart w:id="137" w:name="_Toc54254572"/>
      <w:bookmarkStart w:id="138" w:name="_Toc940755"/>
      <w:bookmarkStart w:id="139" w:name="_Toc521915952"/>
      <w:r>
        <w:rPr>
          <w:rFonts w:hint="eastAsia" w:ascii="宋体" w:hAnsiTheme="minorEastAsia" w:eastAsiaTheme="minorEastAsia"/>
          <w:color w:val="000000"/>
          <w:szCs w:val="21"/>
        </w:rPr>
        <w:t>本页无正文，为《兴合安元债券型证券投资基金托管协议》的签字盖章页。</w:t>
      </w:r>
      <w:bookmarkEnd w:id="137"/>
      <w:bookmarkEnd w:id="138"/>
      <w:bookmarkEnd w:id="139"/>
    </w:p>
    <w:p>
      <w:pPr>
        <w:ind w:firstLine="420"/>
        <w:rPr>
          <w:rFonts w:hint="eastAsia" w:ascii="宋体" w:hAnsi="宋体"/>
          <w:color w:val="000000"/>
          <w:szCs w:val="21"/>
        </w:rPr>
      </w:pPr>
    </w:p>
    <w:p>
      <w:pPr>
        <w:ind w:firstLine="420"/>
        <w:rPr>
          <w:rFonts w:hint="eastAsia" w:ascii="宋体" w:hAnsi="宋体"/>
          <w:color w:val="000000"/>
          <w:szCs w:val="21"/>
        </w:rPr>
      </w:pPr>
    </w:p>
    <w:p>
      <w:pPr>
        <w:ind w:firstLine="420"/>
        <w:rPr>
          <w:rFonts w:hint="eastAsia" w:ascii="宋体" w:hAnsi="宋体"/>
          <w:color w:val="000000"/>
          <w:szCs w:val="21"/>
        </w:rPr>
      </w:pPr>
    </w:p>
    <w:p>
      <w:pPr>
        <w:ind w:right="26" w:firstLine="420"/>
        <w:rPr>
          <w:rFonts w:hint="eastAsia" w:ascii="宋体" w:hAnsi="宋体"/>
          <w:color w:val="000000"/>
          <w:szCs w:val="21"/>
        </w:rPr>
      </w:pPr>
      <w:r>
        <w:rPr>
          <w:rFonts w:hint="eastAsia" w:ascii="宋体" w:hAnsiTheme="minorEastAsia" w:eastAsiaTheme="minorEastAsia"/>
          <w:color w:val="000000"/>
          <w:szCs w:val="21"/>
        </w:rPr>
        <w:t>基金管理人：兴合基金管理有限公司（公章/合同专用章）</w:t>
      </w: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r>
        <w:rPr>
          <w:rFonts w:hint="eastAsia" w:ascii="宋体" w:hAnsiTheme="minorEastAsia" w:eastAsiaTheme="minorEastAsia"/>
          <w:color w:val="000000"/>
          <w:szCs w:val="21"/>
        </w:rPr>
        <w:t xml:space="preserve">法定代表人或授权代表：                   </w:t>
      </w: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color w:val="000000"/>
          <w:szCs w:val="21"/>
        </w:rPr>
      </w:pPr>
      <w:r>
        <w:rPr>
          <w:rFonts w:hint="eastAsia" w:ascii="宋体" w:hAnsiTheme="minorEastAsia" w:eastAsiaTheme="minorEastAsia"/>
          <w:color w:val="000000"/>
          <w:szCs w:val="21"/>
        </w:rPr>
        <w:t>签 订 日：</w:t>
      </w: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r>
        <w:rPr>
          <w:rFonts w:hint="eastAsia" w:ascii="宋体" w:hAnsiTheme="minorEastAsia" w:eastAsiaTheme="minorEastAsia"/>
          <w:color w:val="000000"/>
          <w:szCs w:val="21"/>
        </w:rPr>
        <w:t>基金托管人：徽商银行股份有限公司（公章/合同专用章）</w:t>
      </w:r>
    </w:p>
    <w:p>
      <w:pPr>
        <w:ind w:right="26" w:firstLine="420"/>
        <w:rPr>
          <w:rFonts w:hint="eastAsia" w:ascii="宋体" w:hAnsi="宋体"/>
          <w:color w:val="000000"/>
          <w:szCs w:val="21"/>
        </w:rPr>
      </w:pPr>
    </w:p>
    <w:p>
      <w:pPr>
        <w:ind w:right="26" w:firstLine="420"/>
        <w:rPr>
          <w:rFonts w:hint="eastAsia" w:ascii="宋体" w:hAnsi="宋体"/>
          <w:color w:val="000000"/>
          <w:szCs w:val="21"/>
        </w:rPr>
      </w:pPr>
    </w:p>
    <w:p>
      <w:pPr>
        <w:ind w:right="26" w:firstLine="420"/>
        <w:rPr>
          <w:rFonts w:hint="eastAsia" w:ascii="宋体" w:hAnsi="宋体"/>
          <w:color w:val="000000"/>
          <w:szCs w:val="21"/>
        </w:rPr>
      </w:pPr>
      <w:r>
        <w:rPr>
          <w:rFonts w:hint="eastAsia" w:ascii="宋体" w:hAnsiTheme="minorEastAsia" w:eastAsiaTheme="minorEastAsia"/>
          <w:color w:val="000000"/>
          <w:szCs w:val="21"/>
        </w:rPr>
        <w:t xml:space="preserve">法定代表人或授权代表：                   </w:t>
      </w:r>
    </w:p>
    <w:p>
      <w:pPr>
        <w:ind w:right="26" w:firstLine="422"/>
        <w:rPr>
          <w:rFonts w:hint="eastAsia" w:ascii="宋体" w:hAnsi="宋体"/>
          <w:b/>
          <w:color w:val="000000"/>
          <w:szCs w:val="21"/>
        </w:rPr>
      </w:pPr>
    </w:p>
    <w:p>
      <w:pPr>
        <w:ind w:right="26" w:firstLine="422"/>
        <w:rPr>
          <w:rFonts w:hint="eastAsia" w:ascii="宋体" w:hAnsi="宋体"/>
          <w:b/>
          <w:color w:val="000000"/>
          <w:szCs w:val="21"/>
        </w:rPr>
      </w:pPr>
    </w:p>
    <w:p>
      <w:pPr>
        <w:ind w:right="26" w:firstLine="420"/>
        <w:rPr>
          <w:rFonts w:hint="eastAsia" w:ascii="宋体" w:hAnsi="宋体"/>
          <w:color w:val="000000"/>
          <w:szCs w:val="21"/>
        </w:rPr>
      </w:pPr>
      <w:r>
        <w:rPr>
          <w:rFonts w:hint="eastAsia" w:ascii="宋体" w:hAnsiTheme="minorEastAsia" w:eastAsiaTheme="minorEastAsia"/>
          <w:color w:val="000000"/>
          <w:szCs w:val="21"/>
        </w:rPr>
        <w:t xml:space="preserve">签订地点： </w:t>
      </w:r>
    </w:p>
    <w:p>
      <w:pPr>
        <w:ind w:right="26" w:firstLine="420"/>
        <w:rPr>
          <w:rFonts w:hint="eastAsia" w:ascii="宋体" w:hAnsi="宋体"/>
          <w:color w:val="000000"/>
          <w:szCs w:val="21"/>
        </w:rPr>
      </w:pPr>
    </w:p>
    <w:p>
      <w:pPr>
        <w:pStyle w:val="2"/>
        <w:ind w:firstLine="360"/>
      </w:pPr>
    </w:p>
    <w:p>
      <w:pPr>
        <w:pStyle w:val="2"/>
        <w:ind w:firstLine="360"/>
      </w:pPr>
    </w:p>
    <w:p>
      <w:pPr>
        <w:pStyle w:val="2"/>
        <w:ind w:firstLine="360"/>
      </w:pPr>
    </w:p>
    <w:p>
      <w:pPr>
        <w:pStyle w:val="2"/>
        <w:ind w:firstLine="360"/>
      </w:pPr>
    </w:p>
    <w:p>
      <w:pPr>
        <w:ind w:right="26" w:firstLine="420"/>
        <w:rPr>
          <w:color w:val="000000"/>
          <w:szCs w:val="21"/>
        </w:rPr>
      </w:pPr>
      <w:r>
        <w:rPr>
          <w:rFonts w:hint="eastAsia" w:ascii="宋体" w:hAnsiTheme="minorEastAsia" w:eastAsiaTheme="minorEastAsia"/>
          <w:color w:val="000000"/>
          <w:szCs w:val="21"/>
        </w:rPr>
        <w:t>签 订 日：</w:t>
      </w:r>
      <w:bookmarkEnd w:id="10"/>
    </w:p>
    <w:p>
      <w:pPr>
        <w:ind w:firstLine="420"/>
        <w:rPr>
          <w:szCs w:val="21"/>
        </w:rPr>
      </w:pPr>
    </w:p>
    <w:p>
      <w:pPr>
        <w:ind w:firstLine="420"/>
        <w:rPr>
          <w:szCs w:val="21"/>
        </w:rPr>
      </w:pPr>
    </w:p>
    <w:bookmarkEnd w:id="1"/>
    <w:p>
      <w:pPr>
        <w:ind w:firstLine="420"/>
        <w:rPr>
          <w:szCs w:val="21"/>
        </w:rPr>
      </w:pPr>
    </w:p>
    <w:p>
      <w:pPr>
        <w:ind w:firstLine="420"/>
        <w:rPr>
          <w:szCs w:val="21"/>
        </w:rPr>
      </w:pPr>
    </w:p>
    <w:sectPr>
      <w:footerReference r:id="rId14" w:type="default"/>
      <w:pgSz w:w="11906" w:h="16838"/>
      <w:pgMar w:top="1418" w:right="1701" w:bottom="1418" w:left="1701"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方正仿宋简体">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360"/>
      <w:rPr>
        <w:rStyle w:val="43"/>
      </w:rPr>
    </w:pPr>
    <w:r>
      <w:rPr>
        <w:rStyle w:val="43"/>
      </w:rPr>
      <w:fldChar w:fldCharType="begin"/>
    </w:r>
    <w:r>
      <w:rPr>
        <w:rStyle w:val="43"/>
      </w:rPr>
      <w:instrText xml:space="preserve">PAGE  </w:instrText>
    </w:r>
    <w:r>
      <w:rPr>
        <w:rStyle w:val="43"/>
      </w:rPr>
      <w:fldChar w:fldCharType="end"/>
    </w:r>
  </w:p>
  <w:p>
    <w:pPr>
      <w:pStyle w:val="2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r>
      <w:fldChar w:fldCharType="begin"/>
    </w:r>
    <w:r>
      <w:instrText xml:space="preserve"> PAGE   \* MERGEFORMAT </w:instrText>
    </w:r>
    <w:r>
      <w:fldChar w:fldCharType="separate"/>
    </w:r>
    <w:r>
      <w:t>11</w:t>
    </w:r>
    <w:r>
      <w:fldChar w:fldCharType="end"/>
    </w:r>
  </w:p>
  <w:p>
    <w:pPr>
      <w:pStyle w:val="2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r>
      <w:fldChar w:fldCharType="begin"/>
    </w:r>
    <w:r>
      <w:instrText xml:space="preserve"> PAGE   \* MERGEFORMAT </w:instrText>
    </w:r>
    <w:r>
      <w:fldChar w:fldCharType="separate"/>
    </w:r>
    <w:r>
      <w:t>29</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spacing w:line="240" w:lineRule="auto"/>
      <w:ind w:firstLine="0"/>
      <w:jc w:val="both"/>
    </w:pPr>
    <w:r>
      <w:rPr>
        <w:rFonts w:hint="eastAsia" w:ascii="宋体" w:hAnsi="宋体"/>
        <w:lang w:val="en-US"/>
      </w:rPr>
      <w:t>兴合安元债券型证券投资基金</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托管协议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mY3ZGUzMDA4ZmEzYWFhODkxNDBhZThkOWE3ZTUifQ=="/>
  </w:docVars>
  <w:rsids>
    <w:rsidRoot w:val="00167451"/>
    <w:rsid w:val="00001320"/>
    <w:rsid w:val="000209AB"/>
    <w:rsid w:val="00030DB3"/>
    <w:rsid w:val="00167451"/>
    <w:rsid w:val="001B777A"/>
    <w:rsid w:val="00232C4B"/>
    <w:rsid w:val="00294A82"/>
    <w:rsid w:val="002D3A01"/>
    <w:rsid w:val="00357442"/>
    <w:rsid w:val="00532ADA"/>
    <w:rsid w:val="005828C3"/>
    <w:rsid w:val="00590D58"/>
    <w:rsid w:val="00656B92"/>
    <w:rsid w:val="006D0CFE"/>
    <w:rsid w:val="0081123F"/>
    <w:rsid w:val="008275EE"/>
    <w:rsid w:val="00832CBB"/>
    <w:rsid w:val="009F33A6"/>
    <w:rsid w:val="00A4368C"/>
    <w:rsid w:val="00A50D84"/>
    <w:rsid w:val="00A516FE"/>
    <w:rsid w:val="00C27DAB"/>
    <w:rsid w:val="00C639F3"/>
    <w:rsid w:val="00D003FE"/>
    <w:rsid w:val="00D3589D"/>
    <w:rsid w:val="00DC0779"/>
    <w:rsid w:val="00E13405"/>
    <w:rsid w:val="00F107D4"/>
    <w:rsid w:val="00F30D9B"/>
    <w:rsid w:val="00F70548"/>
    <w:rsid w:val="00F85D59"/>
    <w:rsid w:val="0DA95B8E"/>
    <w:rsid w:val="2B587776"/>
    <w:rsid w:val="3FE256E2"/>
    <w:rsid w:val="446D1306"/>
    <w:rsid w:val="50A25202"/>
    <w:rsid w:val="6A1B48EA"/>
    <w:rsid w:val="75E54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200"/>
      <w:jc w:val="both"/>
    </w:pPr>
    <w:rPr>
      <w:rFonts w:ascii="Times New Roman" w:hAnsi="Times New Roman" w:eastAsia="宋体" w:cs="Times New Roman"/>
      <w:sz w:val="21"/>
      <w:szCs w:val="24"/>
      <w:lang w:val="en-US" w:eastAsia="zh-CN" w:bidi="ar-SA"/>
    </w:rPr>
  </w:style>
  <w:style w:type="paragraph" w:styleId="3">
    <w:name w:val="heading 1"/>
    <w:basedOn w:val="1"/>
    <w:next w:val="1"/>
    <w:link w:val="222"/>
    <w:autoRedefine/>
    <w:qFormat/>
    <w:uiPriority w:val="0"/>
    <w:pPr>
      <w:keepNext/>
      <w:keepLines/>
      <w:spacing w:before="340" w:after="330" w:line="578" w:lineRule="auto"/>
      <w:outlineLvl w:val="0"/>
    </w:pPr>
    <w:rPr>
      <w:b/>
      <w:bCs/>
      <w:sz w:val="44"/>
      <w:szCs w:val="44"/>
    </w:rPr>
  </w:style>
  <w:style w:type="paragraph" w:styleId="4">
    <w:name w:val="heading 2"/>
    <w:basedOn w:val="1"/>
    <w:next w:val="5"/>
    <w:link w:val="82"/>
    <w:qFormat/>
    <w:uiPriority w:val="0"/>
    <w:pPr>
      <w:keepNext/>
      <w:keepLines/>
      <w:spacing w:before="260" w:after="260" w:line="416" w:lineRule="auto"/>
      <w:outlineLvl w:val="1"/>
    </w:pPr>
    <w:rPr>
      <w:rFonts w:ascii="Arial" w:hAnsi="Arial" w:eastAsia="黑体"/>
      <w:b/>
      <w:sz w:val="32"/>
      <w:szCs w:val="20"/>
    </w:rPr>
  </w:style>
  <w:style w:type="paragraph" w:styleId="6">
    <w:name w:val="heading 3"/>
    <w:basedOn w:val="1"/>
    <w:next w:val="1"/>
    <w:link w:val="83"/>
    <w:autoRedefine/>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4"/>
    <w:autoRedefine/>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5"/>
    <w:autoRedefine/>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86"/>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8"/>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autoRedefine/>
    <w:semiHidden/>
    <w:qFormat/>
    <w:uiPriority w:val="0"/>
    <w:rPr>
      <w:sz w:val="18"/>
      <w:szCs w:val="18"/>
    </w:rPr>
  </w:style>
  <w:style w:type="paragraph" w:styleId="5">
    <w:name w:val="Normal Indent"/>
    <w:basedOn w:val="1"/>
    <w:autoRedefine/>
    <w:qFormat/>
    <w:uiPriority w:val="99"/>
    <w:pPr>
      <w:ind w:firstLine="420"/>
    </w:pPr>
  </w:style>
  <w:style w:type="paragraph" w:styleId="13">
    <w:name w:val="toc 7"/>
    <w:basedOn w:val="1"/>
    <w:next w:val="1"/>
    <w:autoRedefine/>
    <w:semiHidden/>
    <w:qFormat/>
    <w:uiPriority w:val="0"/>
    <w:pPr>
      <w:ind w:left="2520"/>
    </w:pPr>
  </w:style>
  <w:style w:type="paragraph" w:styleId="14">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autoRedefine/>
    <w:semiHidden/>
    <w:qFormat/>
    <w:uiPriority w:val="0"/>
    <w:pPr>
      <w:shd w:val="clear" w:color="auto" w:fill="000080"/>
    </w:pPr>
  </w:style>
  <w:style w:type="paragraph" w:styleId="16">
    <w:name w:val="annotation text"/>
    <w:basedOn w:val="1"/>
    <w:link w:val="217"/>
    <w:autoRedefine/>
    <w:qFormat/>
    <w:uiPriority w:val="0"/>
    <w:pPr>
      <w:jc w:val="left"/>
    </w:pPr>
  </w:style>
  <w:style w:type="paragraph" w:styleId="17">
    <w:name w:val="Body Text"/>
    <w:basedOn w:val="1"/>
    <w:link w:val="232"/>
    <w:autoRedefine/>
    <w:qFormat/>
    <w:uiPriority w:val="0"/>
    <w:rPr>
      <w:rFonts w:ascii="仿宋_GB2312" w:eastAsia="仿宋_GB2312"/>
      <w:color w:val="000000"/>
      <w:sz w:val="24"/>
      <w:szCs w:val="28"/>
    </w:rPr>
  </w:style>
  <w:style w:type="paragraph" w:styleId="18">
    <w:name w:val="Body Text Indent"/>
    <w:basedOn w:val="1"/>
    <w:autoRedefine/>
    <w:qFormat/>
    <w:uiPriority w:val="0"/>
    <w:pPr>
      <w:spacing w:line="560" w:lineRule="exact"/>
      <w:ind w:firstLine="480"/>
    </w:pPr>
    <w:rPr>
      <w:rFonts w:eastAsia="方正仿宋简体"/>
      <w:sz w:val="24"/>
      <w:szCs w:val="30"/>
    </w:rPr>
  </w:style>
  <w:style w:type="paragraph" w:styleId="19">
    <w:name w:val="toc 5"/>
    <w:basedOn w:val="1"/>
    <w:next w:val="1"/>
    <w:autoRedefine/>
    <w:semiHidden/>
    <w:qFormat/>
    <w:uiPriority w:val="0"/>
    <w:pPr>
      <w:ind w:left="1680"/>
    </w:pPr>
  </w:style>
  <w:style w:type="paragraph" w:styleId="20">
    <w:name w:val="toc 3"/>
    <w:basedOn w:val="1"/>
    <w:next w:val="1"/>
    <w:autoRedefine/>
    <w:semiHidden/>
    <w:qFormat/>
    <w:uiPriority w:val="0"/>
    <w:pPr>
      <w:ind w:left="840"/>
    </w:pPr>
  </w:style>
  <w:style w:type="paragraph" w:styleId="21">
    <w:name w:val="toc 8"/>
    <w:basedOn w:val="1"/>
    <w:next w:val="1"/>
    <w:autoRedefine/>
    <w:semiHidden/>
    <w:qFormat/>
    <w:uiPriority w:val="0"/>
    <w:pPr>
      <w:ind w:left="2940"/>
    </w:pPr>
  </w:style>
  <w:style w:type="paragraph" w:styleId="22">
    <w:name w:val="Body Text Indent 2"/>
    <w:basedOn w:val="1"/>
    <w:autoRedefine/>
    <w:qFormat/>
    <w:uiPriority w:val="0"/>
    <w:pPr>
      <w:ind w:firstLine="525"/>
    </w:pPr>
    <w:rPr>
      <w:rFonts w:ascii="宋体" w:hAnsi="宋体"/>
      <w:sz w:val="28"/>
      <w:szCs w:val="20"/>
    </w:rPr>
  </w:style>
  <w:style w:type="paragraph" w:styleId="23">
    <w:name w:val="endnote text"/>
    <w:basedOn w:val="1"/>
    <w:link w:val="208"/>
    <w:autoRedefine/>
    <w:semiHidden/>
    <w:unhideWhenUsed/>
    <w:qFormat/>
    <w:uiPriority w:val="99"/>
    <w:rPr>
      <w:sz w:val="20"/>
    </w:rPr>
  </w:style>
  <w:style w:type="paragraph" w:styleId="24">
    <w:name w:val="footer"/>
    <w:basedOn w:val="1"/>
    <w:link w:val="220"/>
    <w:autoRedefine/>
    <w:qFormat/>
    <w:uiPriority w:val="99"/>
    <w:pPr>
      <w:tabs>
        <w:tab w:val="center" w:pos="4153"/>
        <w:tab w:val="right" w:pos="8306"/>
      </w:tabs>
      <w:jc w:val="left"/>
    </w:pPr>
    <w:rPr>
      <w:sz w:val="18"/>
      <w:szCs w:val="18"/>
      <w:lang w:val="zh-CN"/>
    </w:rPr>
  </w:style>
  <w:style w:type="paragraph" w:styleId="25">
    <w:name w:val="header"/>
    <w:basedOn w:val="1"/>
    <w:link w:val="221"/>
    <w:autoRedefine/>
    <w:qFormat/>
    <w:uiPriority w:val="99"/>
    <w:pPr>
      <w:pBdr>
        <w:bottom w:val="single" w:color="auto" w:sz="6" w:space="1"/>
      </w:pBdr>
      <w:tabs>
        <w:tab w:val="center" w:pos="4153"/>
        <w:tab w:val="right" w:pos="8306"/>
      </w:tabs>
      <w:jc w:val="center"/>
    </w:pPr>
    <w:rPr>
      <w:sz w:val="18"/>
      <w:szCs w:val="18"/>
      <w:lang w:val="zh-CN"/>
    </w:rPr>
  </w:style>
  <w:style w:type="paragraph" w:styleId="26">
    <w:name w:val="toc 1"/>
    <w:basedOn w:val="1"/>
    <w:next w:val="1"/>
    <w:autoRedefine/>
    <w:qFormat/>
    <w:uiPriority w:val="39"/>
  </w:style>
  <w:style w:type="paragraph" w:styleId="27">
    <w:name w:val="toc 4"/>
    <w:basedOn w:val="1"/>
    <w:next w:val="1"/>
    <w:autoRedefine/>
    <w:semiHidden/>
    <w:qFormat/>
    <w:uiPriority w:val="0"/>
    <w:pPr>
      <w:ind w:left="1260"/>
    </w:pPr>
  </w:style>
  <w:style w:type="paragraph" w:styleId="28">
    <w:name w:val="Subtitle"/>
    <w:basedOn w:val="1"/>
    <w:next w:val="1"/>
    <w:link w:val="93"/>
    <w:autoRedefine/>
    <w:qFormat/>
    <w:uiPriority w:val="11"/>
    <w:pPr>
      <w:spacing w:before="200" w:after="200"/>
    </w:pPr>
    <w:rPr>
      <w:sz w:val="24"/>
    </w:rPr>
  </w:style>
  <w:style w:type="paragraph" w:styleId="29">
    <w:name w:val="footnote text"/>
    <w:basedOn w:val="1"/>
    <w:link w:val="226"/>
    <w:autoRedefine/>
    <w:semiHidden/>
    <w:unhideWhenUsed/>
    <w:qFormat/>
    <w:uiPriority w:val="0"/>
    <w:pPr>
      <w:jc w:val="left"/>
    </w:pPr>
    <w:rPr>
      <w:sz w:val="18"/>
      <w:szCs w:val="18"/>
    </w:rPr>
  </w:style>
  <w:style w:type="paragraph" w:styleId="30">
    <w:name w:val="toc 6"/>
    <w:basedOn w:val="1"/>
    <w:next w:val="1"/>
    <w:autoRedefine/>
    <w:semiHidden/>
    <w:qFormat/>
    <w:uiPriority w:val="0"/>
    <w:pPr>
      <w:ind w:left="2100"/>
    </w:pPr>
  </w:style>
  <w:style w:type="paragraph" w:styleId="31">
    <w:name w:val="Body Text Indent 3"/>
    <w:basedOn w:val="1"/>
    <w:autoRedefine/>
    <w:qFormat/>
    <w:uiPriority w:val="0"/>
    <w:pPr>
      <w:ind w:firstLine="480"/>
    </w:pPr>
    <w:rPr>
      <w:rFonts w:ascii="仿宋_GB2312" w:hAnsi="宋体" w:eastAsia="仿宋_GB2312" w:cs="Arial"/>
      <w:color w:val="000000"/>
      <w:sz w:val="24"/>
    </w:rPr>
  </w:style>
  <w:style w:type="paragraph" w:styleId="32">
    <w:name w:val="table of figures"/>
    <w:basedOn w:val="1"/>
    <w:next w:val="1"/>
    <w:autoRedefine/>
    <w:unhideWhenUsed/>
    <w:qFormat/>
    <w:uiPriority w:val="99"/>
  </w:style>
  <w:style w:type="paragraph" w:styleId="33">
    <w:name w:val="toc 2"/>
    <w:basedOn w:val="1"/>
    <w:next w:val="1"/>
    <w:autoRedefine/>
    <w:qFormat/>
    <w:uiPriority w:val="39"/>
    <w:pPr>
      <w:tabs>
        <w:tab w:val="right" w:leader="dot" w:pos="8494"/>
      </w:tabs>
      <w:ind w:left="420"/>
    </w:pPr>
  </w:style>
  <w:style w:type="paragraph" w:styleId="34">
    <w:name w:val="toc 9"/>
    <w:basedOn w:val="1"/>
    <w:next w:val="1"/>
    <w:autoRedefine/>
    <w:semiHidden/>
    <w:qFormat/>
    <w:uiPriority w:val="0"/>
    <w:pPr>
      <w:ind w:left="3360"/>
    </w:pPr>
  </w:style>
  <w:style w:type="paragraph" w:styleId="35">
    <w:name w:val="Normal (Web)"/>
    <w:basedOn w:val="1"/>
    <w:autoRedefine/>
    <w:qFormat/>
    <w:uiPriority w:val="99"/>
    <w:pPr>
      <w:widowControl/>
      <w:spacing w:before="100" w:beforeAutospacing="1" w:after="100" w:afterAutospacing="1"/>
      <w:jc w:val="left"/>
    </w:pPr>
    <w:rPr>
      <w:rFonts w:ascii="Arial Unicode MS" w:hAnsi="Arial Unicode MS" w:eastAsia="Arial Unicode MS" w:cs="Arial Unicode MS"/>
      <w:sz w:val="24"/>
    </w:rPr>
  </w:style>
  <w:style w:type="paragraph" w:styleId="36">
    <w:name w:val="Title"/>
    <w:basedOn w:val="1"/>
    <w:link w:val="219"/>
    <w:autoRedefine/>
    <w:qFormat/>
    <w:uiPriority w:val="0"/>
    <w:pPr>
      <w:spacing w:before="240" w:after="60"/>
      <w:jc w:val="center"/>
      <w:outlineLvl w:val="0"/>
    </w:pPr>
    <w:rPr>
      <w:rFonts w:ascii="Arial" w:hAnsi="Arial"/>
      <w:b/>
      <w:bCs/>
      <w:sz w:val="32"/>
      <w:szCs w:val="32"/>
      <w:lang w:val="zh-CN"/>
    </w:rPr>
  </w:style>
  <w:style w:type="paragraph" w:styleId="37">
    <w:name w:val="annotation subject"/>
    <w:basedOn w:val="16"/>
    <w:next w:val="16"/>
    <w:autoRedefine/>
    <w:semiHidden/>
    <w:qFormat/>
    <w:uiPriority w:val="0"/>
    <w:rPr>
      <w:b/>
      <w:bCs/>
    </w:rPr>
  </w:style>
  <w:style w:type="table" w:styleId="39">
    <w:name w:val="Table Grid"/>
    <w:basedOn w:val="38"/>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autoRedefine/>
    <w:qFormat/>
    <w:uiPriority w:val="22"/>
    <w:rPr>
      <w:b/>
      <w:bCs/>
    </w:rPr>
  </w:style>
  <w:style w:type="character" w:styleId="42">
    <w:name w:val="endnote reference"/>
    <w:basedOn w:val="40"/>
    <w:autoRedefine/>
    <w:semiHidden/>
    <w:unhideWhenUsed/>
    <w:qFormat/>
    <w:uiPriority w:val="99"/>
    <w:rPr>
      <w:vertAlign w:val="superscript"/>
    </w:rPr>
  </w:style>
  <w:style w:type="character" w:styleId="43">
    <w:name w:val="page number"/>
    <w:basedOn w:val="40"/>
    <w:autoRedefine/>
    <w:qFormat/>
    <w:uiPriority w:val="0"/>
  </w:style>
  <w:style w:type="character" w:styleId="44">
    <w:name w:val="FollowedHyperlink"/>
    <w:autoRedefine/>
    <w:qFormat/>
    <w:uiPriority w:val="0"/>
    <w:rPr>
      <w:color w:val="800080"/>
      <w:u w:val="single"/>
    </w:rPr>
  </w:style>
  <w:style w:type="character" w:styleId="45">
    <w:name w:val="Hyperlink"/>
    <w:autoRedefine/>
    <w:qFormat/>
    <w:uiPriority w:val="99"/>
    <w:rPr>
      <w:color w:val="0000FF"/>
      <w:u w:val="single"/>
    </w:rPr>
  </w:style>
  <w:style w:type="character" w:styleId="46">
    <w:name w:val="annotation reference"/>
    <w:autoRedefine/>
    <w:qFormat/>
    <w:uiPriority w:val="0"/>
    <w:rPr>
      <w:sz w:val="21"/>
      <w:szCs w:val="21"/>
    </w:rPr>
  </w:style>
  <w:style w:type="character" w:styleId="47">
    <w:name w:val="footnote reference"/>
    <w:basedOn w:val="40"/>
    <w:autoRedefine/>
    <w:semiHidden/>
    <w:unhideWhenUsed/>
    <w:qFormat/>
    <w:uiPriority w:val="0"/>
    <w:rPr>
      <w:vertAlign w:val="superscript"/>
    </w:rPr>
  </w:style>
  <w:style w:type="table" w:customStyle="1" w:styleId="48">
    <w:name w:val="无格式表格 11"/>
    <w:basedOn w:val="38"/>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auto"/>
      </w:tcPr>
    </w:tblStylePr>
    <w:tblStylePr w:type="band1Horz">
      <w:tcPr>
        <w:shd w:val="clear" w:color="F1F1F1" w:themeColor="text1" w:themeTint="0D" w:fill="auto"/>
      </w:tcPr>
    </w:tblStylePr>
  </w:style>
  <w:style w:type="table" w:customStyle="1" w:styleId="49">
    <w:name w:val="无格式表格 21"/>
    <w:basedOn w:val="38"/>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无格式表格 31"/>
    <w:basedOn w:val="38"/>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1">
    <w:name w:val="无格式表格 41"/>
    <w:basedOn w:val="38"/>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2">
    <w:name w:val="无格式表格 51"/>
    <w:basedOn w:val="38"/>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3">
    <w:name w:val="网格表 1 浅色1"/>
    <w:basedOn w:val="38"/>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网格表 21"/>
    <w:basedOn w:val="38"/>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5">
    <w:name w:val="网格表 31"/>
    <w:basedOn w:val="38"/>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6">
    <w:name w:val="网格表 41"/>
    <w:basedOn w:val="38"/>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auto"/>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7">
    <w:name w:val="网格表 5 深色1"/>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auto"/>
      </w:tcPr>
    </w:tblStylePr>
    <w:tblStylePr w:type="lastRow">
      <w:rPr>
        <w:rFonts w:ascii="Arial" w:hAnsi="Arial"/>
        <w:b/>
        <w:color w:val="FFFFFF"/>
        <w:sz w:val="22"/>
      </w:rPr>
      <w:tcPr>
        <w:tcBorders>
          <w:top w:val="single" w:color="FFFFFF" w:themeColor="light1" w:sz="4" w:space="0"/>
        </w:tcBorders>
        <w:shd w:val="clear" w:color="000000" w:themeColor="text1" w:fill="auto"/>
      </w:tcPr>
    </w:tblStylePr>
    <w:tblStylePr w:type="firstCol">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band1Vert">
      <w:tcPr>
        <w:shd w:val="clear" w:color="898989" w:themeColor="text1" w:themeTint="75" w:fill="auto"/>
      </w:tcPr>
    </w:tblStylePr>
    <w:tblStylePr w:type="band1Horz">
      <w:tcPr>
        <w:shd w:val="clear" w:color="898989" w:themeColor="text1" w:themeTint="75" w:fill="auto"/>
      </w:tcPr>
    </w:tblStylePr>
  </w:style>
  <w:style w:type="table" w:customStyle="1" w:styleId="58">
    <w:name w:val="网格表 6 彩色1"/>
    <w:basedOn w:val="38"/>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网格表 7 彩色1"/>
    <w:basedOn w:val="38"/>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清单表 1 浅色1"/>
    <w:basedOn w:val="38"/>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auto"/>
      </w:tcPr>
    </w:tblStylePr>
    <w:tblStylePr w:type="band1Horz">
      <w:tcPr>
        <w:shd w:val="clear" w:color="BEBEBE" w:themeColor="text1" w:themeTint="40" w:fill="auto"/>
      </w:tcPr>
    </w:tblStylePr>
  </w:style>
  <w:style w:type="table" w:customStyle="1" w:styleId="61">
    <w:name w:val="清单表 21"/>
    <w:basedOn w:val="38"/>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2">
    <w:name w:val="清单表 31"/>
    <w:basedOn w:val="38"/>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清单表 41"/>
    <w:basedOn w:val="38"/>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4">
    <w:name w:val="清单表 5 深色1"/>
    <w:basedOn w:val="38"/>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auto"/>
      </w:tcPr>
    </w:tblStylePr>
    <w:tblStylePr w:type="band2Horz">
      <w:tcPr>
        <w:tcBorders>
          <w:top w:val="single" w:color="FFFFFF" w:themeColor="light1" w:sz="4" w:space="0"/>
          <w:bottom w:val="single" w:color="FFFFFF" w:themeColor="light1" w:sz="4" w:space="0"/>
        </w:tcBorders>
        <w:shd w:val="clear" w:color="7E7E7E" w:themeColor="text1" w:themeTint="80" w:fill="auto"/>
      </w:tcPr>
    </w:tblStylePr>
  </w:style>
  <w:style w:type="table" w:customStyle="1" w:styleId="65">
    <w:name w:val="清单表 6 彩色1"/>
    <w:basedOn w:val="38"/>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auto"/>
      </w:tcPr>
    </w:tblStyle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style>
  <w:style w:type="table" w:customStyle="1" w:styleId="66">
    <w:name w:val="清单表 7 彩色1"/>
    <w:basedOn w:val="38"/>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标题1"/>
    <w:autoRedefine/>
    <w:unhideWhenUsed/>
    <w:qFormat/>
    <w:uiPriority w:val="39"/>
    <w:rPr>
      <w:rFonts w:ascii="Times New Roman" w:hAnsi="Times New Roman" w:eastAsia="宋体" w:cs="Times New Roman"/>
      <w:lang w:val="en-US" w:eastAsia="zh-CN" w:bidi="ar-SA"/>
    </w:rPr>
  </w:style>
  <w:style w:type="paragraph" w:customStyle="1" w:styleId="68">
    <w:name w:val="TOC 标题111"/>
    <w:autoRedefine/>
    <w:unhideWhenUsed/>
    <w:qFormat/>
    <w:uiPriority w:val="39"/>
    <w:rPr>
      <w:rFonts w:ascii="Times New Roman" w:hAnsi="Times New Roman" w:eastAsia="宋体" w:cs="Times New Roman"/>
      <w:lang w:val="en-US" w:eastAsia="zh-CN" w:bidi="ar-SA"/>
    </w:rPr>
  </w:style>
  <w:style w:type="character" w:customStyle="1" w:styleId="69">
    <w:name w:val="Heading 2 Char"/>
    <w:basedOn w:val="40"/>
    <w:autoRedefine/>
    <w:qFormat/>
    <w:uiPriority w:val="9"/>
    <w:rPr>
      <w:rFonts w:ascii="Arial" w:hAnsi="Arial" w:eastAsia="Arial" w:cs="Arial"/>
      <w:sz w:val="34"/>
    </w:rPr>
  </w:style>
  <w:style w:type="character" w:customStyle="1" w:styleId="70">
    <w:name w:val="Heading 3 Char"/>
    <w:basedOn w:val="40"/>
    <w:autoRedefine/>
    <w:qFormat/>
    <w:uiPriority w:val="9"/>
    <w:rPr>
      <w:rFonts w:ascii="Arial" w:hAnsi="Arial" w:eastAsia="Arial" w:cs="Arial"/>
      <w:sz w:val="30"/>
      <w:szCs w:val="30"/>
    </w:rPr>
  </w:style>
  <w:style w:type="character" w:customStyle="1" w:styleId="71">
    <w:name w:val="Heading 4 Char"/>
    <w:basedOn w:val="40"/>
    <w:autoRedefine/>
    <w:qFormat/>
    <w:uiPriority w:val="9"/>
    <w:rPr>
      <w:rFonts w:ascii="Arial" w:hAnsi="Arial" w:eastAsia="Arial" w:cs="Arial"/>
      <w:b/>
      <w:bCs/>
      <w:sz w:val="26"/>
      <w:szCs w:val="26"/>
    </w:rPr>
  </w:style>
  <w:style w:type="character" w:customStyle="1" w:styleId="72">
    <w:name w:val="Heading 5 Char"/>
    <w:basedOn w:val="40"/>
    <w:autoRedefine/>
    <w:qFormat/>
    <w:uiPriority w:val="9"/>
    <w:rPr>
      <w:rFonts w:ascii="Arial" w:hAnsi="Arial" w:eastAsia="Arial" w:cs="Arial"/>
      <w:b/>
      <w:bCs/>
      <w:sz w:val="24"/>
      <w:szCs w:val="24"/>
    </w:rPr>
  </w:style>
  <w:style w:type="character" w:customStyle="1" w:styleId="73">
    <w:name w:val="Heading 6 Char"/>
    <w:basedOn w:val="40"/>
    <w:autoRedefine/>
    <w:qFormat/>
    <w:uiPriority w:val="9"/>
    <w:rPr>
      <w:rFonts w:ascii="Arial" w:hAnsi="Arial" w:eastAsia="Arial" w:cs="Arial"/>
      <w:b/>
      <w:bCs/>
      <w:sz w:val="22"/>
      <w:szCs w:val="22"/>
    </w:rPr>
  </w:style>
  <w:style w:type="character" w:customStyle="1" w:styleId="74">
    <w:name w:val="Heading 7 Char"/>
    <w:basedOn w:val="40"/>
    <w:autoRedefine/>
    <w:qFormat/>
    <w:uiPriority w:val="9"/>
    <w:rPr>
      <w:rFonts w:ascii="Arial" w:hAnsi="Arial" w:eastAsia="Arial" w:cs="Arial"/>
      <w:b/>
      <w:bCs/>
      <w:i/>
      <w:iCs/>
      <w:sz w:val="22"/>
      <w:szCs w:val="22"/>
    </w:rPr>
  </w:style>
  <w:style w:type="character" w:customStyle="1" w:styleId="75">
    <w:name w:val="Heading 8 Char"/>
    <w:basedOn w:val="40"/>
    <w:autoRedefine/>
    <w:qFormat/>
    <w:uiPriority w:val="9"/>
    <w:rPr>
      <w:rFonts w:ascii="Arial" w:hAnsi="Arial" w:eastAsia="Arial" w:cs="Arial"/>
      <w:i/>
      <w:iCs/>
      <w:sz w:val="22"/>
      <w:szCs w:val="22"/>
    </w:rPr>
  </w:style>
  <w:style w:type="character" w:customStyle="1" w:styleId="76">
    <w:name w:val="Heading 9 Char"/>
    <w:basedOn w:val="40"/>
    <w:autoRedefine/>
    <w:qFormat/>
    <w:uiPriority w:val="9"/>
    <w:rPr>
      <w:rFonts w:ascii="Arial" w:hAnsi="Arial" w:eastAsia="Arial" w:cs="Arial"/>
      <w:i/>
      <w:iCs/>
      <w:sz w:val="21"/>
      <w:szCs w:val="21"/>
    </w:rPr>
  </w:style>
  <w:style w:type="character" w:customStyle="1" w:styleId="77">
    <w:name w:val="Subtitle Char"/>
    <w:basedOn w:val="40"/>
    <w:autoRedefine/>
    <w:qFormat/>
    <w:uiPriority w:val="11"/>
    <w:rPr>
      <w:sz w:val="24"/>
      <w:szCs w:val="24"/>
    </w:rPr>
  </w:style>
  <w:style w:type="character" w:customStyle="1" w:styleId="78">
    <w:name w:val="Quote Char"/>
    <w:autoRedefine/>
    <w:qFormat/>
    <w:uiPriority w:val="29"/>
    <w:rPr>
      <w:i/>
    </w:rPr>
  </w:style>
  <w:style w:type="character" w:customStyle="1" w:styleId="79">
    <w:name w:val="Intense Quote Char"/>
    <w:autoRedefine/>
    <w:qFormat/>
    <w:uiPriority w:val="30"/>
    <w:rPr>
      <w:i/>
    </w:rPr>
  </w:style>
  <w:style w:type="character" w:customStyle="1" w:styleId="80">
    <w:name w:val="Endnote Text Char"/>
    <w:autoRedefine/>
    <w:qFormat/>
    <w:uiPriority w:val="99"/>
    <w:rPr>
      <w:sz w:val="20"/>
    </w:rPr>
  </w:style>
  <w:style w:type="character" w:customStyle="1" w:styleId="81">
    <w:name w:val="Heading 1 Char"/>
    <w:basedOn w:val="40"/>
    <w:autoRedefine/>
    <w:qFormat/>
    <w:uiPriority w:val="9"/>
    <w:rPr>
      <w:rFonts w:ascii="Arial" w:hAnsi="Arial" w:eastAsia="Arial" w:cs="Arial"/>
      <w:sz w:val="40"/>
      <w:szCs w:val="40"/>
    </w:rPr>
  </w:style>
  <w:style w:type="character" w:customStyle="1" w:styleId="82">
    <w:name w:val="标题 2 字符"/>
    <w:basedOn w:val="40"/>
    <w:link w:val="4"/>
    <w:autoRedefine/>
    <w:qFormat/>
    <w:uiPriority w:val="9"/>
    <w:rPr>
      <w:rFonts w:ascii="Arial" w:hAnsi="Arial" w:eastAsia="Arial" w:cs="Arial"/>
      <w:sz w:val="34"/>
    </w:rPr>
  </w:style>
  <w:style w:type="character" w:customStyle="1" w:styleId="83">
    <w:name w:val="标题 3 字符"/>
    <w:basedOn w:val="40"/>
    <w:link w:val="6"/>
    <w:autoRedefine/>
    <w:qFormat/>
    <w:uiPriority w:val="9"/>
    <w:rPr>
      <w:rFonts w:ascii="Arial" w:hAnsi="Arial" w:eastAsia="Arial" w:cs="Arial"/>
      <w:sz w:val="30"/>
      <w:szCs w:val="30"/>
    </w:rPr>
  </w:style>
  <w:style w:type="character" w:customStyle="1" w:styleId="84">
    <w:name w:val="标题 4 字符"/>
    <w:basedOn w:val="40"/>
    <w:link w:val="7"/>
    <w:autoRedefine/>
    <w:qFormat/>
    <w:uiPriority w:val="9"/>
    <w:rPr>
      <w:rFonts w:ascii="Arial" w:hAnsi="Arial" w:eastAsia="Arial" w:cs="Arial"/>
      <w:b/>
      <w:bCs/>
      <w:sz w:val="26"/>
      <w:szCs w:val="26"/>
    </w:rPr>
  </w:style>
  <w:style w:type="character" w:customStyle="1" w:styleId="85">
    <w:name w:val="标题 5 字符"/>
    <w:basedOn w:val="40"/>
    <w:link w:val="8"/>
    <w:autoRedefine/>
    <w:qFormat/>
    <w:uiPriority w:val="9"/>
    <w:rPr>
      <w:rFonts w:ascii="Arial" w:hAnsi="Arial" w:eastAsia="Arial" w:cs="Arial"/>
      <w:b/>
      <w:bCs/>
      <w:sz w:val="24"/>
      <w:szCs w:val="24"/>
    </w:rPr>
  </w:style>
  <w:style w:type="character" w:customStyle="1" w:styleId="86">
    <w:name w:val="标题 6 字符"/>
    <w:basedOn w:val="40"/>
    <w:link w:val="9"/>
    <w:autoRedefine/>
    <w:qFormat/>
    <w:uiPriority w:val="9"/>
    <w:rPr>
      <w:rFonts w:ascii="Arial" w:hAnsi="Arial" w:eastAsia="Arial" w:cs="Arial"/>
      <w:b/>
      <w:bCs/>
      <w:sz w:val="22"/>
      <w:szCs w:val="22"/>
    </w:rPr>
  </w:style>
  <w:style w:type="character" w:customStyle="1" w:styleId="87">
    <w:name w:val="标题 7 字符"/>
    <w:basedOn w:val="40"/>
    <w:link w:val="10"/>
    <w:autoRedefine/>
    <w:qFormat/>
    <w:uiPriority w:val="9"/>
    <w:rPr>
      <w:rFonts w:ascii="Arial" w:hAnsi="Arial" w:eastAsia="Arial" w:cs="Arial"/>
      <w:b/>
      <w:bCs/>
      <w:i/>
      <w:iCs/>
      <w:sz w:val="22"/>
      <w:szCs w:val="22"/>
    </w:rPr>
  </w:style>
  <w:style w:type="character" w:customStyle="1" w:styleId="88">
    <w:name w:val="标题 8 字符"/>
    <w:basedOn w:val="40"/>
    <w:link w:val="11"/>
    <w:autoRedefine/>
    <w:qFormat/>
    <w:uiPriority w:val="9"/>
    <w:rPr>
      <w:rFonts w:ascii="Arial" w:hAnsi="Arial" w:eastAsia="Arial" w:cs="Arial"/>
      <w:i/>
      <w:iCs/>
      <w:sz w:val="22"/>
      <w:szCs w:val="22"/>
    </w:rPr>
  </w:style>
  <w:style w:type="character" w:customStyle="1" w:styleId="89">
    <w:name w:val="标题 9 字符"/>
    <w:basedOn w:val="40"/>
    <w:link w:val="12"/>
    <w:autoRedefine/>
    <w:qFormat/>
    <w:uiPriority w:val="9"/>
    <w:rPr>
      <w:rFonts w:ascii="Arial" w:hAnsi="Arial" w:eastAsia="Arial" w:cs="Arial"/>
      <w:i/>
      <w:iCs/>
      <w:sz w:val="21"/>
      <w:szCs w:val="21"/>
    </w:rPr>
  </w:style>
  <w:style w:type="paragraph" w:styleId="90">
    <w:name w:val="List Paragraph"/>
    <w:basedOn w:val="1"/>
    <w:autoRedefine/>
    <w:qFormat/>
    <w:uiPriority w:val="34"/>
    <w:pPr>
      <w:ind w:left="720"/>
      <w:contextualSpacing/>
    </w:pPr>
  </w:style>
  <w:style w:type="paragraph" w:styleId="91">
    <w:name w:val="No Spacing"/>
    <w:autoRedefine/>
    <w:qFormat/>
    <w:uiPriority w:val="1"/>
    <w:rPr>
      <w:rFonts w:ascii="Times New Roman" w:hAnsi="Times New Roman" w:eastAsia="宋体" w:cs="Times New Roman"/>
      <w:lang w:val="en-US" w:eastAsia="zh-CN" w:bidi="ar-SA"/>
    </w:rPr>
  </w:style>
  <w:style w:type="character" w:customStyle="1" w:styleId="92">
    <w:name w:val="Title Char"/>
    <w:basedOn w:val="40"/>
    <w:autoRedefine/>
    <w:qFormat/>
    <w:uiPriority w:val="10"/>
    <w:rPr>
      <w:sz w:val="48"/>
      <w:szCs w:val="48"/>
    </w:rPr>
  </w:style>
  <w:style w:type="character" w:customStyle="1" w:styleId="93">
    <w:name w:val="副标题 字符"/>
    <w:basedOn w:val="40"/>
    <w:link w:val="28"/>
    <w:autoRedefine/>
    <w:qFormat/>
    <w:uiPriority w:val="11"/>
    <w:rPr>
      <w:sz w:val="24"/>
      <w:szCs w:val="24"/>
    </w:rPr>
  </w:style>
  <w:style w:type="paragraph" w:styleId="94">
    <w:name w:val="Quote"/>
    <w:basedOn w:val="1"/>
    <w:next w:val="1"/>
    <w:link w:val="95"/>
    <w:autoRedefine/>
    <w:qFormat/>
    <w:uiPriority w:val="29"/>
    <w:pPr>
      <w:ind w:left="720" w:right="720"/>
    </w:pPr>
    <w:rPr>
      <w:i/>
    </w:rPr>
  </w:style>
  <w:style w:type="character" w:customStyle="1" w:styleId="95">
    <w:name w:val="引用 字符"/>
    <w:link w:val="94"/>
    <w:autoRedefine/>
    <w:qFormat/>
    <w:uiPriority w:val="29"/>
    <w:rPr>
      <w:i/>
    </w:rPr>
  </w:style>
  <w:style w:type="paragraph" w:styleId="96">
    <w:name w:val="Intense Quote"/>
    <w:basedOn w:val="1"/>
    <w:next w:val="1"/>
    <w:link w:val="97"/>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autoRedefine/>
    <w:qFormat/>
    <w:uiPriority w:val="30"/>
    <w:rPr>
      <w:i/>
    </w:rPr>
  </w:style>
  <w:style w:type="character" w:customStyle="1" w:styleId="98">
    <w:name w:val="Header Char"/>
    <w:basedOn w:val="40"/>
    <w:autoRedefine/>
    <w:qFormat/>
    <w:uiPriority w:val="99"/>
  </w:style>
  <w:style w:type="character" w:customStyle="1" w:styleId="99">
    <w:name w:val="Footer Char"/>
    <w:basedOn w:val="40"/>
    <w:autoRedefine/>
    <w:qFormat/>
    <w:uiPriority w:val="99"/>
  </w:style>
  <w:style w:type="character" w:customStyle="1" w:styleId="100">
    <w:name w:val="Caption Char"/>
    <w:autoRedefine/>
    <w:qFormat/>
    <w:uiPriority w:val="99"/>
  </w:style>
  <w:style w:type="table" w:customStyle="1" w:styleId="101">
    <w:name w:val="Table Grid Light"/>
    <w:basedOn w:val="38"/>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2">
    <w:name w:val="Grid Table 1 Light - Accent 1"/>
    <w:basedOn w:val="38"/>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3">
    <w:name w:val="Grid Table 1 Light - Accent 2"/>
    <w:basedOn w:val="38"/>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4">
    <w:name w:val="Grid Table 1 Light - Accent 3"/>
    <w:basedOn w:val="38"/>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5">
    <w:name w:val="Grid Table 1 Light - Accent 4"/>
    <w:basedOn w:val="38"/>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6">
    <w:name w:val="Grid Table 1 Light - Accent 5"/>
    <w:basedOn w:val="38"/>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7">
    <w:name w:val="Grid Table 1 Light - Accent 6"/>
    <w:basedOn w:val="38"/>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8">
    <w:name w:val="Grid Table 2 - Accent 1"/>
    <w:basedOn w:val="38"/>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auto"/>
      </w:tcPr>
    </w:tblStylePr>
    <w:tblStylePr w:type="band1Horz">
      <w:rPr>
        <w:rFonts w:ascii="Arial" w:hAnsi="Arial"/>
        <w:color w:val="404040"/>
        <w:sz w:val="22"/>
      </w:rPr>
      <w:tcPr>
        <w:shd w:val="clear" w:color="DDEAF6" w:themeColor="accent1" w:themeTint="34" w:fill="auto"/>
      </w:tcPr>
    </w:tblStylePr>
  </w:style>
  <w:style w:type="table" w:customStyle="1" w:styleId="109">
    <w:name w:val="Grid Table 2 - Accent 2"/>
    <w:basedOn w:val="38"/>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auto"/>
      </w:tcPr>
    </w:tblStylePr>
    <w:tblStylePr w:type="band1Horz">
      <w:rPr>
        <w:rFonts w:ascii="Arial" w:hAnsi="Arial"/>
        <w:color w:val="404040"/>
        <w:sz w:val="22"/>
      </w:rPr>
      <w:tcPr>
        <w:shd w:val="clear" w:color="FBE5D6" w:themeColor="accent2" w:themeTint="32" w:fill="auto"/>
      </w:tcPr>
    </w:tblStylePr>
  </w:style>
  <w:style w:type="table" w:customStyle="1" w:styleId="110">
    <w:name w:val="Grid Table 2 - Accent 3"/>
    <w:basedOn w:val="38"/>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auto"/>
      </w:tcPr>
    </w:tblStylePr>
    <w:tblStylePr w:type="band1Horz">
      <w:rPr>
        <w:rFonts w:ascii="Arial" w:hAnsi="Arial"/>
        <w:color w:val="404040"/>
        <w:sz w:val="22"/>
      </w:rPr>
      <w:tcPr>
        <w:shd w:val="clear" w:color="ECECEC" w:themeColor="accent3" w:themeTint="34" w:fill="auto"/>
      </w:tcPr>
    </w:tblStylePr>
  </w:style>
  <w:style w:type="table" w:customStyle="1" w:styleId="111">
    <w:name w:val="Grid Table 2 - Accent 4"/>
    <w:basedOn w:val="38"/>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auto"/>
      </w:tcPr>
    </w:tblStylePr>
    <w:tblStylePr w:type="band1Horz">
      <w:rPr>
        <w:rFonts w:ascii="Arial" w:hAnsi="Arial"/>
        <w:color w:val="404040"/>
        <w:sz w:val="22"/>
      </w:rPr>
      <w:tcPr>
        <w:shd w:val="clear" w:color="FEF2CA" w:themeColor="accent4" w:themeTint="34" w:fill="auto"/>
      </w:tcPr>
    </w:tblStylePr>
  </w:style>
  <w:style w:type="table" w:customStyle="1" w:styleId="112">
    <w:name w:val="Grid Table 2 - Accent 5"/>
    <w:basedOn w:val="38"/>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auto"/>
      </w:tcPr>
    </w:tblStylePr>
    <w:tblStylePr w:type="band1Horz">
      <w:rPr>
        <w:rFonts w:ascii="Arial" w:hAnsi="Arial"/>
        <w:color w:val="404040"/>
        <w:sz w:val="22"/>
      </w:rPr>
      <w:tcPr>
        <w:shd w:val="clear" w:color="D8E2F2" w:themeColor="accent5" w:themeTint="34" w:fill="auto"/>
      </w:tcPr>
    </w:tblStylePr>
  </w:style>
  <w:style w:type="table" w:customStyle="1" w:styleId="113">
    <w:name w:val="Grid Table 2 - Accent 6"/>
    <w:basedOn w:val="38"/>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auto"/>
      </w:tcPr>
    </w:tblStylePr>
    <w:tblStylePr w:type="band1Horz">
      <w:rPr>
        <w:rFonts w:ascii="Arial" w:hAnsi="Arial"/>
        <w:color w:val="404040"/>
        <w:sz w:val="22"/>
      </w:rPr>
      <w:tcPr>
        <w:shd w:val="clear" w:color="E1EFD8" w:themeColor="accent6" w:themeTint="34" w:fill="auto"/>
      </w:tcPr>
    </w:tblStylePr>
  </w:style>
  <w:style w:type="table" w:customStyle="1" w:styleId="114">
    <w:name w:val="Grid Table 3 - Accent 1"/>
    <w:basedOn w:val="38"/>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auto"/>
      </w:tcPr>
    </w:tblStylePr>
    <w:tblStylePr w:type="band1Horz">
      <w:rPr>
        <w:rFonts w:ascii="Arial" w:hAnsi="Arial"/>
        <w:color w:val="404040"/>
        <w:sz w:val="22"/>
      </w:rPr>
      <w:tcPr>
        <w:shd w:val="clear" w:color="DDEAF6" w:themeColor="accent1" w:themeTint="34" w:fill="auto"/>
      </w:tcPr>
    </w:tblStylePr>
  </w:style>
  <w:style w:type="table" w:customStyle="1" w:styleId="115">
    <w:name w:val="Grid Table 3 - Accent 2"/>
    <w:basedOn w:val="38"/>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auto"/>
      </w:tcPr>
    </w:tblStylePr>
    <w:tblStylePr w:type="band1Horz">
      <w:rPr>
        <w:rFonts w:ascii="Arial" w:hAnsi="Arial"/>
        <w:color w:val="404040"/>
        <w:sz w:val="22"/>
      </w:rPr>
      <w:tcPr>
        <w:shd w:val="clear" w:color="FBE5D6" w:themeColor="accent2" w:themeTint="32" w:fill="auto"/>
      </w:tcPr>
    </w:tblStylePr>
  </w:style>
  <w:style w:type="table" w:customStyle="1" w:styleId="116">
    <w:name w:val="Grid Table 3 - Accent 3"/>
    <w:basedOn w:val="38"/>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auto"/>
      </w:tcPr>
    </w:tblStylePr>
    <w:tblStylePr w:type="band1Horz">
      <w:rPr>
        <w:rFonts w:ascii="Arial" w:hAnsi="Arial"/>
        <w:color w:val="404040"/>
        <w:sz w:val="22"/>
      </w:rPr>
      <w:tcPr>
        <w:shd w:val="clear" w:color="ECECEC" w:themeColor="accent3" w:themeTint="34" w:fill="auto"/>
      </w:tcPr>
    </w:tblStylePr>
  </w:style>
  <w:style w:type="table" w:customStyle="1" w:styleId="117">
    <w:name w:val="Grid Table 3 - Accent 4"/>
    <w:basedOn w:val="38"/>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auto"/>
      </w:tcPr>
    </w:tblStylePr>
    <w:tblStylePr w:type="band1Horz">
      <w:rPr>
        <w:rFonts w:ascii="Arial" w:hAnsi="Arial"/>
        <w:color w:val="404040"/>
        <w:sz w:val="22"/>
      </w:rPr>
      <w:tcPr>
        <w:shd w:val="clear" w:color="FEF2CA" w:themeColor="accent4" w:themeTint="34" w:fill="auto"/>
      </w:tcPr>
    </w:tblStylePr>
  </w:style>
  <w:style w:type="table" w:customStyle="1" w:styleId="118">
    <w:name w:val="Grid Table 3 - Accent 5"/>
    <w:basedOn w:val="38"/>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auto"/>
      </w:tcPr>
    </w:tblStylePr>
    <w:tblStylePr w:type="band1Horz">
      <w:rPr>
        <w:rFonts w:ascii="Arial" w:hAnsi="Arial"/>
        <w:color w:val="404040"/>
        <w:sz w:val="22"/>
      </w:rPr>
      <w:tcPr>
        <w:shd w:val="clear" w:color="D8E2F2" w:themeColor="accent5" w:themeTint="34" w:fill="auto"/>
      </w:tcPr>
    </w:tblStylePr>
  </w:style>
  <w:style w:type="table" w:customStyle="1" w:styleId="119">
    <w:name w:val="Grid Table 3 - Accent 6"/>
    <w:basedOn w:val="38"/>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auto"/>
      </w:tcPr>
    </w:tblStylePr>
    <w:tblStylePr w:type="band1Horz">
      <w:rPr>
        <w:rFonts w:ascii="Arial" w:hAnsi="Arial"/>
        <w:color w:val="404040"/>
        <w:sz w:val="22"/>
      </w:rPr>
      <w:tcPr>
        <w:shd w:val="clear" w:color="E1EFD8" w:themeColor="accent6" w:themeTint="34" w:fill="auto"/>
      </w:tcPr>
    </w:tblStylePr>
  </w:style>
  <w:style w:type="table" w:customStyle="1" w:styleId="120">
    <w:name w:val="Grid Table 4 - Accent 1"/>
    <w:basedOn w:val="38"/>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auto"/>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auto"/>
      </w:tcPr>
    </w:tblStylePr>
    <w:tblStylePr w:type="band1Horz">
      <w:rPr>
        <w:rFonts w:ascii="Arial" w:hAnsi="Arial"/>
        <w:color w:val="404040"/>
        <w:sz w:val="22"/>
      </w:rPr>
      <w:tcPr>
        <w:shd w:val="clear" w:color="DEEBF6" w:themeColor="accent1" w:themeTint="32" w:fill="auto"/>
      </w:tcPr>
    </w:tblStylePr>
  </w:style>
  <w:style w:type="table" w:customStyle="1" w:styleId="121">
    <w:name w:val="Grid Table 4 - Accent 2"/>
    <w:basedOn w:val="38"/>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auto"/>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auto"/>
      </w:tcPr>
    </w:tblStylePr>
    <w:tblStylePr w:type="band1Horz">
      <w:rPr>
        <w:rFonts w:ascii="Arial" w:hAnsi="Arial"/>
        <w:color w:val="404040"/>
        <w:sz w:val="22"/>
      </w:rPr>
      <w:tcPr>
        <w:shd w:val="clear" w:color="FBE5D6" w:themeColor="accent2" w:themeTint="32" w:fill="auto"/>
      </w:tcPr>
    </w:tblStylePr>
  </w:style>
  <w:style w:type="table" w:customStyle="1" w:styleId="122">
    <w:name w:val="Grid Table 4 - Accent 3"/>
    <w:basedOn w:val="38"/>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uto"/>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auto"/>
      </w:tcPr>
    </w:tblStylePr>
    <w:tblStylePr w:type="band1Horz">
      <w:rPr>
        <w:rFonts w:ascii="Arial" w:hAnsi="Arial"/>
        <w:color w:val="404040"/>
        <w:sz w:val="22"/>
      </w:rPr>
      <w:tcPr>
        <w:shd w:val="clear" w:color="ECECEC" w:themeColor="accent3" w:themeTint="34" w:fill="auto"/>
      </w:tcPr>
    </w:tblStylePr>
  </w:style>
  <w:style w:type="table" w:customStyle="1" w:styleId="123">
    <w:name w:val="Grid Table 4 - Accent 4"/>
    <w:basedOn w:val="38"/>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auto"/>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auto"/>
      </w:tcPr>
    </w:tblStylePr>
    <w:tblStylePr w:type="band1Horz">
      <w:rPr>
        <w:rFonts w:ascii="Arial" w:hAnsi="Arial"/>
        <w:color w:val="404040"/>
        <w:sz w:val="22"/>
      </w:rPr>
      <w:tcPr>
        <w:shd w:val="clear" w:color="FEF2CA" w:themeColor="accent4" w:themeTint="34" w:fill="auto"/>
      </w:tcPr>
    </w:tblStylePr>
  </w:style>
  <w:style w:type="table" w:customStyle="1" w:styleId="124">
    <w:name w:val="Grid Table 4 - Accent 5"/>
    <w:basedOn w:val="38"/>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auto"/>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auto"/>
      </w:tcPr>
    </w:tblStylePr>
    <w:tblStylePr w:type="band1Horz">
      <w:rPr>
        <w:rFonts w:ascii="Arial" w:hAnsi="Arial"/>
        <w:color w:val="404040"/>
        <w:sz w:val="22"/>
      </w:rPr>
      <w:tcPr>
        <w:shd w:val="clear" w:color="D8E2F2" w:themeColor="accent5" w:themeTint="34" w:fill="auto"/>
      </w:tcPr>
    </w:tblStylePr>
  </w:style>
  <w:style w:type="table" w:customStyle="1" w:styleId="125">
    <w:name w:val="Grid Table 4 - Accent 6"/>
    <w:basedOn w:val="38"/>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auto"/>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auto"/>
      </w:tcPr>
    </w:tblStylePr>
    <w:tblStylePr w:type="band1Horz">
      <w:rPr>
        <w:rFonts w:ascii="Arial" w:hAnsi="Arial"/>
        <w:color w:val="404040"/>
        <w:sz w:val="22"/>
      </w:rPr>
      <w:tcPr>
        <w:shd w:val="clear" w:color="E1EFD8" w:themeColor="accent6" w:themeTint="34" w:fill="auto"/>
      </w:tcPr>
    </w:tblStylePr>
  </w:style>
  <w:style w:type="table" w:customStyle="1" w:styleId="126">
    <w:name w:val="Grid Table 5 Dark- Accent 1"/>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auto"/>
      </w:tcPr>
    </w:tblStylePr>
    <w:tblStylePr w:type="lastRow">
      <w:rPr>
        <w:rFonts w:ascii="Arial" w:hAnsi="Arial"/>
        <w:b/>
        <w:color w:val="FFFFFF"/>
        <w:sz w:val="22"/>
      </w:rPr>
      <w:tcPr>
        <w:tcBorders>
          <w:top w:val="single" w:color="FFFFFF" w:themeColor="light1" w:sz="4" w:space="0"/>
        </w:tcBorders>
        <w:shd w:val="clear" w:color="5B9BD5" w:themeColor="accent1" w:fill="auto"/>
      </w:tcPr>
    </w:tblStylePr>
    <w:tblStylePr w:type="firstCol">
      <w:rPr>
        <w:rFonts w:ascii="Arial" w:hAnsi="Arial"/>
        <w:b/>
        <w:color w:val="FFFFFF"/>
        <w:sz w:val="22"/>
      </w:rPr>
      <w:tcPr>
        <w:shd w:val="clear" w:color="5B9BD5" w:themeColor="accent1" w:fill="auto"/>
      </w:tcPr>
    </w:tblStylePr>
    <w:tblStylePr w:type="lastCol">
      <w:rPr>
        <w:rFonts w:ascii="Arial" w:hAnsi="Arial"/>
        <w:b/>
        <w:color w:val="FFFFFF"/>
        <w:sz w:val="22"/>
      </w:rPr>
      <w:tcPr>
        <w:shd w:val="clear" w:color="5B9BD5" w:themeColor="accent1" w:fill="auto"/>
      </w:tcPr>
    </w:tblStylePr>
    <w:tblStylePr w:type="band1Vert">
      <w:tcPr>
        <w:shd w:val="clear" w:color="B3D1EB" w:themeColor="accent1" w:themeTint="75" w:fill="auto"/>
      </w:tcPr>
    </w:tblStylePr>
    <w:tblStylePr w:type="band1Horz">
      <w:tcPr>
        <w:shd w:val="clear" w:color="B3D1EB" w:themeColor="accent1" w:themeTint="75" w:fill="auto"/>
      </w:tcPr>
    </w:tblStylePr>
  </w:style>
  <w:style w:type="table" w:customStyle="1" w:styleId="127">
    <w:name w:val="Grid Table 5 Dark - Accent 2"/>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auto"/>
      </w:tcPr>
    </w:tblStylePr>
    <w:tblStylePr w:type="lastRow">
      <w:rPr>
        <w:rFonts w:ascii="Arial" w:hAnsi="Arial"/>
        <w:b/>
        <w:color w:val="FFFFFF"/>
        <w:sz w:val="22"/>
      </w:rPr>
      <w:tcPr>
        <w:tcBorders>
          <w:top w:val="single" w:color="FFFFFF" w:themeColor="light1" w:sz="4" w:space="0"/>
        </w:tcBorders>
        <w:shd w:val="clear" w:color="ED7D31" w:themeColor="accent2" w:fill="auto"/>
      </w:tcPr>
    </w:tblStylePr>
    <w:tblStylePr w:type="firstCol">
      <w:rPr>
        <w:rFonts w:ascii="Arial" w:hAnsi="Arial"/>
        <w:b/>
        <w:color w:val="FFFFFF"/>
        <w:sz w:val="22"/>
      </w:rPr>
      <w:tcPr>
        <w:shd w:val="clear" w:color="ED7D31" w:themeColor="accent2" w:fill="auto"/>
      </w:tcPr>
    </w:tblStylePr>
    <w:tblStylePr w:type="lastCol">
      <w:rPr>
        <w:rFonts w:ascii="Arial" w:hAnsi="Arial"/>
        <w:b/>
        <w:color w:val="FFFFFF"/>
        <w:sz w:val="22"/>
      </w:rPr>
      <w:tcPr>
        <w:shd w:val="clear" w:color="ED7D31" w:themeColor="accent2" w:fill="auto"/>
      </w:tcPr>
    </w:tblStylePr>
    <w:tblStylePr w:type="band1Vert">
      <w:tcPr>
        <w:shd w:val="clear" w:color="F6C3A0" w:themeColor="accent2" w:themeTint="75" w:fill="auto"/>
      </w:tcPr>
    </w:tblStylePr>
    <w:tblStylePr w:type="band1Horz">
      <w:tcPr>
        <w:shd w:val="clear" w:color="F6C3A0" w:themeColor="accent2" w:themeTint="75" w:fill="auto"/>
      </w:tcPr>
    </w:tblStylePr>
  </w:style>
  <w:style w:type="table" w:customStyle="1" w:styleId="128">
    <w:name w:val="Grid Table 5 Dark - Accent 3"/>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uto"/>
      </w:tcPr>
    </w:tblStylePr>
    <w:tblStylePr w:type="lastRow">
      <w:rPr>
        <w:rFonts w:ascii="Arial" w:hAnsi="Arial"/>
        <w:b/>
        <w:color w:val="FFFFFF"/>
        <w:sz w:val="22"/>
      </w:rPr>
      <w:tcPr>
        <w:tcBorders>
          <w:top w:val="single" w:color="FFFFFF" w:themeColor="light1" w:sz="4" w:space="0"/>
        </w:tcBorders>
        <w:shd w:val="clear" w:color="A5A5A5" w:themeColor="accent3" w:fill="auto"/>
      </w:tcPr>
    </w:tblStylePr>
    <w:tblStylePr w:type="firstCol">
      <w:rPr>
        <w:rFonts w:ascii="Arial" w:hAnsi="Arial"/>
        <w:b/>
        <w:color w:val="FFFFFF"/>
        <w:sz w:val="22"/>
      </w:rPr>
      <w:tcPr>
        <w:shd w:val="clear" w:color="A5A5A5" w:themeColor="accent3" w:fill="auto"/>
      </w:tcPr>
    </w:tblStylePr>
    <w:tblStylePr w:type="lastCol">
      <w:rPr>
        <w:rFonts w:ascii="Arial" w:hAnsi="Arial"/>
        <w:b/>
        <w:color w:val="FFFFFF"/>
        <w:sz w:val="22"/>
      </w:rPr>
      <w:tcPr>
        <w:shd w:val="clear" w:color="A5A5A5" w:themeColor="accent3" w:fill="auto"/>
      </w:tcPr>
    </w:tblStylePr>
    <w:tblStylePr w:type="band1Vert">
      <w:tcPr>
        <w:shd w:val="clear" w:color="D5D5D5" w:themeColor="accent3" w:themeTint="75" w:fill="auto"/>
      </w:tcPr>
    </w:tblStylePr>
    <w:tblStylePr w:type="band1Horz">
      <w:tcPr>
        <w:shd w:val="clear" w:color="D5D5D5" w:themeColor="accent3" w:themeTint="75" w:fill="auto"/>
      </w:tcPr>
    </w:tblStylePr>
  </w:style>
  <w:style w:type="table" w:customStyle="1" w:styleId="129">
    <w:name w:val="Grid Table 5 Dark- Accent 4"/>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auto"/>
      </w:tcPr>
    </w:tblStylePr>
    <w:tblStylePr w:type="lastRow">
      <w:rPr>
        <w:rFonts w:ascii="Arial" w:hAnsi="Arial"/>
        <w:b/>
        <w:color w:val="FFFFFF"/>
        <w:sz w:val="22"/>
      </w:rPr>
      <w:tcPr>
        <w:tcBorders>
          <w:top w:val="single" w:color="FFFFFF" w:themeColor="light1" w:sz="4" w:space="0"/>
        </w:tcBorders>
        <w:shd w:val="clear" w:color="FFC000" w:themeColor="accent4" w:fill="auto"/>
      </w:tcPr>
    </w:tblStylePr>
    <w:tblStylePr w:type="firstCol">
      <w:rPr>
        <w:rFonts w:ascii="Arial" w:hAnsi="Arial"/>
        <w:b/>
        <w:color w:val="FFFFFF"/>
        <w:sz w:val="22"/>
      </w:rPr>
      <w:tcPr>
        <w:shd w:val="clear" w:color="FFC000" w:themeColor="accent4" w:fill="auto"/>
      </w:tcPr>
    </w:tblStylePr>
    <w:tblStylePr w:type="lastCol">
      <w:rPr>
        <w:rFonts w:ascii="Arial" w:hAnsi="Arial"/>
        <w:b/>
        <w:color w:val="FFFFFF"/>
        <w:sz w:val="22"/>
      </w:rPr>
      <w:tcPr>
        <w:shd w:val="clear" w:color="FFC000" w:themeColor="accent4" w:fill="auto"/>
      </w:tcPr>
    </w:tblStylePr>
    <w:tblStylePr w:type="band1Vert">
      <w:tcPr>
        <w:shd w:val="clear" w:color="FEE289" w:themeColor="accent4" w:themeTint="75" w:fill="auto"/>
      </w:tcPr>
    </w:tblStylePr>
    <w:tblStylePr w:type="band1Horz">
      <w:tcPr>
        <w:shd w:val="clear" w:color="FEE289" w:themeColor="accent4" w:themeTint="75" w:fill="auto"/>
      </w:tcPr>
    </w:tblStylePr>
  </w:style>
  <w:style w:type="table" w:customStyle="1" w:styleId="130">
    <w:name w:val="Grid Table 5 Dark - Accent 5"/>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auto"/>
      </w:tcPr>
    </w:tblStylePr>
    <w:tblStylePr w:type="lastRow">
      <w:rPr>
        <w:rFonts w:ascii="Arial" w:hAnsi="Arial"/>
        <w:b/>
        <w:color w:val="FFFFFF"/>
        <w:sz w:val="22"/>
      </w:rPr>
      <w:tcPr>
        <w:tcBorders>
          <w:top w:val="single" w:color="FFFFFF" w:themeColor="light1" w:sz="4" w:space="0"/>
        </w:tcBorders>
        <w:shd w:val="clear" w:color="4472C4" w:themeColor="accent5" w:fill="auto"/>
      </w:tcPr>
    </w:tblStylePr>
    <w:tblStylePr w:type="firstCol">
      <w:rPr>
        <w:rFonts w:ascii="Arial" w:hAnsi="Arial"/>
        <w:b/>
        <w:color w:val="FFFFFF"/>
        <w:sz w:val="22"/>
      </w:rPr>
      <w:tcPr>
        <w:shd w:val="clear" w:color="4472C4" w:themeColor="accent5" w:fill="auto"/>
      </w:tcPr>
    </w:tblStylePr>
    <w:tblStylePr w:type="lastCol">
      <w:rPr>
        <w:rFonts w:ascii="Arial" w:hAnsi="Arial"/>
        <w:b/>
        <w:color w:val="FFFFFF"/>
        <w:sz w:val="22"/>
      </w:rPr>
      <w:tcPr>
        <w:shd w:val="clear" w:color="4472C4" w:themeColor="accent5" w:fill="auto"/>
      </w:tcPr>
    </w:tblStylePr>
    <w:tblStylePr w:type="band1Vert">
      <w:tcPr>
        <w:shd w:val="clear" w:color="A9BEE3" w:themeColor="accent5" w:themeTint="75" w:fill="auto"/>
      </w:tcPr>
    </w:tblStylePr>
    <w:tblStylePr w:type="band1Horz">
      <w:tcPr>
        <w:shd w:val="clear" w:color="A9BEE3" w:themeColor="accent5" w:themeTint="75" w:fill="auto"/>
      </w:tcPr>
    </w:tblStylePr>
  </w:style>
  <w:style w:type="table" w:customStyle="1" w:styleId="131">
    <w:name w:val="Grid Table 5 Dark - Accent 6"/>
    <w:basedOn w:val="3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auto"/>
      </w:tcPr>
    </w:tblStylePr>
    <w:tblStylePr w:type="lastRow">
      <w:rPr>
        <w:rFonts w:ascii="Arial" w:hAnsi="Arial"/>
        <w:b/>
        <w:color w:val="FFFFFF"/>
        <w:sz w:val="22"/>
      </w:rPr>
      <w:tcPr>
        <w:tcBorders>
          <w:top w:val="single" w:color="FFFFFF" w:themeColor="light1" w:sz="4" w:space="0"/>
        </w:tcBorders>
        <w:shd w:val="clear" w:color="70AD47" w:themeColor="accent6" w:fill="auto"/>
      </w:tcPr>
    </w:tblStylePr>
    <w:tblStylePr w:type="firstCol">
      <w:rPr>
        <w:rFonts w:ascii="Arial" w:hAnsi="Arial"/>
        <w:b/>
        <w:color w:val="FFFFFF"/>
        <w:sz w:val="22"/>
      </w:rPr>
      <w:tcPr>
        <w:shd w:val="clear" w:color="70AD47" w:themeColor="accent6" w:fill="auto"/>
      </w:tcPr>
    </w:tblStylePr>
    <w:tblStylePr w:type="lastCol">
      <w:rPr>
        <w:rFonts w:ascii="Arial" w:hAnsi="Arial"/>
        <w:b/>
        <w:color w:val="FFFFFF"/>
        <w:sz w:val="22"/>
      </w:rPr>
      <w:tcPr>
        <w:shd w:val="clear" w:color="70AD47" w:themeColor="accent6" w:fill="auto"/>
      </w:tcPr>
    </w:tblStylePr>
    <w:tblStylePr w:type="band1Vert">
      <w:tcPr>
        <w:shd w:val="clear" w:color="BCDBA8" w:themeColor="accent6" w:themeTint="75" w:fill="auto"/>
      </w:tcPr>
    </w:tblStylePr>
    <w:tblStylePr w:type="band1Horz">
      <w:tcPr>
        <w:shd w:val="clear" w:color="BCDBA8" w:themeColor="accent6" w:themeTint="75" w:fill="auto"/>
      </w:tcPr>
    </w:tblStylePr>
  </w:style>
  <w:style w:type="table" w:customStyle="1" w:styleId="132">
    <w:name w:val="Grid Table 6 Colorful - Accent 1"/>
    <w:basedOn w:val="38"/>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auto"/>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auto"/>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38"/>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auto"/>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38"/>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auto"/>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auto"/>
      </w:tcPr>
    </w:tblStylePr>
    <w:tblStylePr w:type="band2Horz">
      <w:rPr>
        <w:rFonts w:ascii="Arial" w:hAnsi="Arial"/>
        <w:color w:val="A5A5A5" w:themeColor="accent3"/>
        <w:sz w:val="22"/>
        <w14:textFill>
          <w14:solidFill>
            <w14:schemeClr w14:val="accent3"/>
          </w14:solidFill>
        </w14:textFill>
      </w:rPr>
    </w:tblStylePr>
  </w:style>
  <w:style w:type="table" w:customStyle="1" w:styleId="135">
    <w:name w:val="Grid Table 6 Colorful - Accent 4"/>
    <w:basedOn w:val="38"/>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auto"/>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38"/>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auto"/>
      </w:tcPr>
    </w:tblStylePr>
    <w:tblStylePr w:type="band1Horz">
      <w:rPr>
        <w:rFonts w:ascii="Arial" w:hAnsi="Arial"/>
        <w:color w:val="254174" w:themeColor="accent5" w:themeShade="94"/>
        <w:sz w:val="22"/>
      </w:rPr>
      <w:tcPr>
        <w:shd w:val="clear" w:color="D8E2F2" w:themeColor="accent5" w:themeTint="34" w:fill="auto"/>
      </w:tcPr>
    </w:tblStylePr>
    <w:tblStylePr w:type="band2Horz">
      <w:rPr>
        <w:rFonts w:ascii="Arial" w:hAnsi="Arial"/>
        <w:color w:val="254174" w:themeColor="accent5" w:themeShade="94"/>
        <w:sz w:val="22"/>
      </w:rPr>
    </w:tblStylePr>
  </w:style>
  <w:style w:type="table" w:customStyle="1" w:styleId="137">
    <w:name w:val="Grid Table 6 Colorful - Accent 6"/>
    <w:basedOn w:val="38"/>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auto"/>
      </w:tcPr>
    </w:tblStylePr>
    <w:tblStylePr w:type="band1Horz">
      <w:rPr>
        <w:rFonts w:ascii="Arial" w:hAnsi="Arial"/>
        <w:color w:val="254174" w:themeColor="accent5" w:themeShade="94"/>
        <w:sz w:val="22"/>
      </w:rPr>
      <w:tcPr>
        <w:shd w:val="clear" w:color="E1EFD8" w:themeColor="accent6" w:themeTint="34" w:fill="auto"/>
      </w:tcPr>
    </w:tblStylePr>
    <w:tblStylePr w:type="band2Horz">
      <w:rPr>
        <w:rFonts w:ascii="Arial" w:hAnsi="Arial"/>
        <w:color w:val="254174" w:themeColor="accent5" w:themeShade="94"/>
        <w:sz w:val="22"/>
      </w:rPr>
    </w:tblStylePr>
  </w:style>
  <w:style w:type="table" w:customStyle="1" w:styleId="138">
    <w:name w:val="Grid Table 7 Colorful - Accent 1"/>
    <w:basedOn w:val="38"/>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auto"/>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auto"/>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auto"/>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auto"/>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38"/>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auto"/>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auto"/>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auto"/>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38"/>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auto"/>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auto"/>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auto"/>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auto"/>
      </w:tcPr>
    </w:tblStylePr>
    <w:tblStylePr w:type="band2Horz">
      <w:rPr>
        <w:rFonts w:ascii="Arial" w:hAnsi="Arial"/>
        <w:color w:val="A5A5A5" w:themeColor="accent3"/>
        <w:sz w:val="22"/>
        <w14:textFill>
          <w14:solidFill>
            <w14:schemeClr w14:val="accent3"/>
          </w14:solidFill>
        </w14:textFill>
      </w:rPr>
    </w:tblStylePr>
  </w:style>
  <w:style w:type="table" w:customStyle="1" w:styleId="141">
    <w:name w:val="Grid Table 7 Colorful - Accent 4"/>
    <w:basedOn w:val="38"/>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auto"/>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auto"/>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auto"/>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38"/>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auto"/>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auto"/>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auto"/>
      </w:tcPr>
    </w:tblStylePr>
    <w:tblStylePr w:type="band1Horz">
      <w:rPr>
        <w:rFonts w:ascii="Arial" w:hAnsi="Arial"/>
        <w:color w:val="254174" w:themeColor="accent5" w:themeShade="94"/>
        <w:sz w:val="22"/>
      </w:rPr>
      <w:tcPr>
        <w:shd w:val="clear" w:color="D8E2F2" w:themeColor="accent5" w:themeTint="34" w:fill="auto"/>
      </w:tcPr>
    </w:tblStylePr>
    <w:tblStylePr w:type="band2Horz">
      <w:rPr>
        <w:rFonts w:ascii="Arial" w:hAnsi="Arial"/>
        <w:color w:val="254174" w:themeColor="accent5" w:themeShade="94"/>
        <w:sz w:val="22"/>
      </w:rPr>
    </w:tblStylePr>
  </w:style>
  <w:style w:type="table" w:customStyle="1" w:styleId="143">
    <w:name w:val="Grid Table 7 Colorful - Accent 6"/>
    <w:basedOn w:val="38"/>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auto"/>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auto"/>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auto"/>
      </w:tcPr>
    </w:tblStylePr>
    <w:tblStylePr w:type="band1Horz">
      <w:rPr>
        <w:rFonts w:ascii="Arial" w:hAnsi="Arial"/>
        <w:color w:val="416429" w:themeColor="accent6" w:themeShade="94"/>
        <w:sz w:val="22"/>
      </w:rPr>
      <w:tcPr>
        <w:shd w:val="clear" w:color="E1EFD8" w:themeColor="accent6" w:themeTint="34" w:fill="auto"/>
      </w:tcPr>
    </w:tblStylePr>
    <w:tblStylePr w:type="band2Horz">
      <w:rPr>
        <w:rFonts w:ascii="Arial" w:hAnsi="Arial"/>
        <w:color w:val="416429" w:themeColor="accent6" w:themeShade="94"/>
        <w:sz w:val="22"/>
      </w:rPr>
    </w:tblStylePr>
  </w:style>
  <w:style w:type="table" w:customStyle="1" w:styleId="144">
    <w:name w:val="List Table 1 Light - Accent 1"/>
    <w:basedOn w:val="38"/>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auto"/>
      </w:tcPr>
    </w:tblStylePr>
    <w:tblStylePr w:type="band1Horz">
      <w:tcPr>
        <w:shd w:val="clear" w:color="D5E5F4" w:themeColor="accent1" w:themeTint="40" w:fill="auto"/>
      </w:tcPr>
    </w:tblStylePr>
  </w:style>
  <w:style w:type="table" w:customStyle="1" w:styleId="145">
    <w:name w:val="List Table 1 Light - Accent 2"/>
    <w:basedOn w:val="38"/>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auto"/>
      </w:tcPr>
    </w:tblStylePr>
    <w:tblStylePr w:type="band1Horz">
      <w:tcPr>
        <w:shd w:val="clear" w:color="FADECB" w:themeColor="accent2" w:themeTint="40" w:fill="auto"/>
      </w:tcPr>
    </w:tblStylePr>
  </w:style>
  <w:style w:type="table" w:customStyle="1" w:styleId="146">
    <w:name w:val="List Table 1 Light - Accent 3"/>
    <w:basedOn w:val="38"/>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auto"/>
      </w:tcPr>
    </w:tblStylePr>
    <w:tblStylePr w:type="band1Horz">
      <w:tcPr>
        <w:shd w:val="clear" w:color="E8E8E8" w:themeColor="accent3" w:themeTint="40" w:fill="auto"/>
      </w:tcPr>
    </w:tblStylePr>
  </w:style>
  <w:style w:type="table" w:customStyle="1" w:styleId="147">
    <w:name w:val="List Table 1 Light - Accent 4"/>
    <w:basedOn w:val="38"/>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auto"/>
      </w:tcPr>
    </w:tblStylePr>
    <w:tblStylePr w:type="band1Horz">
      <w:tcPr>
        <w:shd w:val="clear" w:color="FFEFBE" w:themeColor="accent4" w:themeTint="40" w:fill="auto"/>
      </w:tcPr>
    </w:tblStylePr>
  </w:style>
  <w:style w:type="table" w:customStyle="1" w:styleId="148">
    <w:name w:val="List Table 1 Light - Accent 5"/>
    <w:basedOn w:val="38"/>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auto"/>
      </w:tcPr>
    </w:tblStylePr>
    <w:tblStylePr w:type="band1Horz">
      <w:tcPr>
        <w:shd w:val="clear" w:color="D0DBF0" w:themeColor="accent5" w:themeTint="40" w:fill="auto"/>
      </w:tcPr>
    </w:tblStylePr>
  </w:style>
  <w:style w:type="table" w:customStyle="1" w:styleId="149">
    <w:name w:val="List Table 1 Light - Accent 6"/>
    <w:basedOn w:val="38"/>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auto"/>
      </w:tcPr>
    </w:tblStylePr>
    <w:tblStylePr w:type="band1Horz">
      <w:tcPr>
        <w:shd w:val="clear" w:color="DAEBCF" w:themeColor="accent6" w:themeTint="40" w:fill="auto"/>
      </w:tcPr>
    </w:tblStylePr>
  </w:style>
  <w:style w:type="table" w:customStyle="1" w:styleId="150">
    <w:name w:val="List Table 2 - Accent 1"/>
    <w:basedOn w:val="38"/>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auto"/>
      </w:tcPr>
    </w:tblStylePr>
    <w:tblStylePr w:type="band1Horz">
      <w:rPr>
        <w:rFonts w:ascii="Arial" w:hAnsi="Arial"/>
        <w:color w:val="404040"/>
        <w:sz w:val="22"/>
      </w:rPr>
      <w:tcPr>
        <w:shd w:val="clear" w:color="D5E5F4" w:themeColor="accent1" w:themeTint="40" w:fill="auto"/>
      </w:tcPr>
    </w:tblStylePr>
  </w:style>
  <w:style w:type="table" w:customStyle="1" w:styleId="151">
    <w:name w:val="List Table 2 - Accent 2"/>
    <w:basedOn w:val="38"/>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auto"/>
      </w:tcPr>
    </w:tblStylePr>
    <w:tblStylePr w:type="band1Horz">
      <w:rPr>
        <w:rFonts w:ascii="Arial" w:hAnsi="Arial"/>
        <w:color w:val="404040"/>
        <w:sz w:val="22"/>
      </w:rPr>
      <w:tcPr>
        <w:shd w:val="clear" w:color="FADECB" w:themeColor="accent2" w:themeTint="40" w:fill="auto"/>
      </w:tcPr>
    </w:tblStylePr>
  </w:style>
  <w:style w:type="table" w:customStyle="1" w:styleId="152">
    <w:name w:val="List Table 2 - Accent 3"/>
    <w:basedOn w:val="38"/>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auto"/>
      </w:tcPr>
    </w:tblStylePr>
    <w:tblStylePr w:type="band1Horz">
      <w:rPr>
        <w:rFonts w:ascii="Arial" w:hAnsi="Arial"/>
        <w:color w:val="404040"/>
        <w:sz w:val="22"/>
      </w:rPr>
      <w:tcPr>
        <w:shd w:val="clear" w:color="E8E8E8" w:themeColor="accent3" w:themeTint="40" w:fill="auto"/>
      </w:tcPr>
    </w:tblStylePr>
  </w:style>
  <w:style w:type="table" w:customStyle="1" w:styleId="153">
    <w:name w:val="List Table 2 - Accent 4"/>
    <w:basedOn w:val="38"/>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auto"/>
      </w:tcPr>
    </w:tblStylePr>
    <w:tblStylePr w:type="band1Horz">
      <w:rPr>
        <w:rFonts w:ascii="Arial" w:hAnsi="Arial"/>
        <w:color w:val="404040"/>
        <w:sz w:val="22"/>
      </w:rPr>
      <w:tcPr>
        <w:shd w:val="clear" w:color="FFEFBE" w:themeColor="accent4" w:themeTint="40" w:fill="auto"/>
      </w:tcPr>
    </w:tblStylePr>
  </w:style>
  <w:style w:type="table" w:customStyle="1" w:styleId="154">
    <w:name w:val="List Table 2 - Accent 5"/>
    <w:basedOn w:val="38"/>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auto"/>
      </w:tcPr>
    </w:tblStylePr>
    <w:tblStylePr w:type="band1Horz">
      <w:rPr>
        <w:rFonts w:ascii="Arial" w:hAnsi="Arial"/>
        <w:color w:val="404040"/>
        <w:sz w:val="22"/>
      </w:rPr>
      <w:tcPr>
        <w:shd w:val="clear" w:color="D0DBF0" w:themeColor="accent5" w:themeTint="40" w:fill="auto"/>
      </w:tcPr>
    </w:tblStylePr>
  </w:style>
  <w:style w:type="table" w:customStyle="1" w:styleId="155">
    <w:name w:val="List Table 2 - Accent 6"/>
    <w:basedOn w:val="38"/>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auto"/>
      </w:tcPr>
    </w:tblStylePr>
    <w:tblStylePr w:type="band1Horz">
      <w:rPr>
        <w:rFonts w:ascii="Arial" w:hAnsi="Arial"/>
        <w:color w:val="404040"/>
        <w:sz w:val="22"/>
      </w:rPr>
      <w:tcPr>
        <w:shd w:val="clear" w:color="DAEBCF" w:themeColor="accent6" w:themeTint="40" w:fill="auto"/>
      </w:tcPr>
    </w:tblStylePr>
  </w:style>
  <w:style w:type="table" w:customStyle="1" w:styleId="156">
    <w:name w:val="List Table 3 - Accent 1"/>
    <w:basedOn w:val="38"/>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7">
    <w:name w:val="List Table 3 - Accent 2"/>
    <w:basedOn w:val="38"/>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8">
    <w:name w:val="List Table 3 - Accent 3"/>
    <w:basedOn w:val="38"/>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9">
    <w:name w:val="List Table 3 - Accent 4"/>
    <w:basedOn w:val="38"/>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0">
    <w:name w:val="List Table 3 - Accent 5"/>
    <w:basedOn w:val="38"/>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1">
    <w:name w:val="List Table 3 - Accent 6"/>
    <w:basedOn w:val="38"/>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2">
    <w:name w:val="List Table 4 - Accent 1"/>
    <w:basedOn w:val="38"/>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auto"/>
      </w:tcPr>
    </w:tblStylePr>
    <w:tblStylePr w:type="band1Horz">
      <w:rPr>
        <w:rFonts w:ascii="Arial" w:hAnsi="Arial"/>
        <w:color w:val="404040"/>
        <w:sz w:val="22"/>
      </w:rPr>
      <w:tcPr>
        <w:shd w:val="clear" w:color="D5E5F4" w:themeColor="accent1" w:themeTint="40" w:fill="auto"/>
      </w:tcPr>
    </w:tblStylePr>
  </w:style>
  <w:style w:type="table" w:customStyle="1" w:styleId="163">
    <w:name w:val="List Table 4 - Accent 2"/>
    <w:basedOn w:val="38"/>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auto"/>
      </w:tcPr>
    </w:tblStylePr>
    <w:tblStylePr w:type="band1Horz">
      <w:rPr>
        <w:rFonts w:ascii="Arial" w:hAnsi="Arial"/>
        <w:color w:val="404040"/>
        <w:sz w:val="22"/>
      </w:rPr>
      <w:tcPr>
        <w:shd w:val="clear" w:color="FADECB" w:themeColor="accent2" w:themeTint="40" w:fill="auto"/>
      </w:tcPr>
    </w:tblStylePr>
  </w:style>
  <w:style w:type="table" w:customStyle="1" w:styleId="164">
    <w:name w:val="List Table 4 - Accent 3"/>
    <w:basedOn w:val="38"/>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auto"/>
      </w:tcPr>
    </w:tblStylePr>
    <w:tblStylePr w:type="band1Horz">
      <w:rPr>
        <w:rFonts w:ascii="Arial" w:hAnsi="Arial"/>
        <w:color w:val="404040"/>
        <w:sz w:val="22"/>
      </w:rPr>
      <w:tcPr>
        <w:shd w:val="clear" w:color="E8E8E8" w:themeColor="accent3" w:themeTint="40" w:fill="auto"/>
      </w:tcPr>
    </w:tblStylePr>
  </w:style>
  <w:style w:type="table" w:customStyle="1" w:styleId="165">
    <w:name w:val="List Table 4 - Accent 4"/>
    <w:basedOn w:val="38"/>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auto"/>
      </w:tcPr>
    </w:tblStylePr>
    <w:tblStylePr w:type="band1Horz">
      <w:rPr>
        <w:rFonts w:ascii="Arial" w:hAnsi="Arial"/>
        <w:color w:val="404040"/>
        <w:sz w:val="22"/>
      </w:rPr>
      <w:tcPr>
        <w:shd w:val="clear" w:color="FFEFBE" w:themeColor="accent4" w:themeTint="40" w:fill="auto"/>
      </w:tcPr>
    </w:tblStylePr>
  </w:style>
  <w:style w:type="table" w:customStyle="1" w:styleId="166">
    <w:name w:val="List Table 4 - Accent 5"/>
    <w:basedOn w:val="38"/>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auto"/>
      </w:tcPr>
    </w:tblStylePr>
    <w:tblStylePr w:type="band1Horz">
      <w:rPr>
        <w:rFonts w:ascii="Arial" w:hAnsi="Arial"/>
        <w:color w:val="404040"/>
        <w:sz w:val="22"/>
      </w:rPr>
      <w:tcPr>
        <w:shd w:val="clear" w:color="D0DBF0" w:themeColor="accent5" w:themeTint="40" w:fill="auto"/>
      </w:tcPr>
    </w:tblStylePr>
  </w:style>
  <w:style w:type="table" w:customStyle="1" w:styleId="167">
    <w:name w:val="List Table 4 - Accent 6"/>
    <w:basedOn w:val="38"/>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auto"/>
      </w:tcPr>
    </w:tblStylePr>
    <w:tblStylePr w:type="band1Horz">
      <w:rPr>
        <w:rFonts w:ascii="Arial" w:hAnsi="Arial"/>
        <w:color w:val="404040"/>
        <w:sz w:val="22"/>
      </w:rPr>
      <w:tcPr>
        <w:shd w:val="clear" w:color="DAEBCF" w:themeColor="accent6" w:themeTint="40" w:fill="auto"/>
      </w:tcPr>
    </w:tblStylePr>
  </w:style>
  <w:style w:type="table" w:customStyle="1" w:styleId="168">
    <w:name w:val="List Table 5 Dark - Accent 1"/>
    <w:basedOn w:val="38"/>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auto"/>
      </w:tcPr>
    </w:tblStylePr>
    <w:tblStylePr w:type="band2Horz">
      <w:tcPr>
        <w:tcBorders>
          <w:top w:val="single" w:color="FFFFFF" w:themeColor="light1" w:sz="4" w:space="0"/>
          <w:bottom w:val="single" w:color="FFFFFF" w:themeColor="light1" w:sz="4" w:space="0"/>
        </w:tcBorders>
        <w:shd w:val="clear" w:color="5B9BD5" w:themeColor="accent1" w:fill="auto"/>
      </w:tcPr>
    </w:tblStylePr>
  </w:style>
  <w:style w:type="table" w:customStyle="1" w:styleId="169">
    <w:name w:val="List Table 5 Dark - Accent 2"/>
    <w:basedOn w:val="38"/>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auto"/>
      </w:tcPr>
    </w:tblStylePr>
    <w:tblStylePr w:type="band2Horz">
      <w:tcPr>
        <w:tcBorders>
          <w:top w:val="single" w:color="FFFFFF" w:themeColor="light1" w:sz="4" w:space="0"/>
          <w:bottom w:val="single" w:color="FFFFFF" w:themeColor="light1" w:sz="4" w:space="0"/>
        </w:tcBorders>
        <w:shd w:val="clear" w:color="F4B285" w:themeColor="accent2" w:themeTint="97" w:fill="auto"/>
      </w:tcPr>
    </w:tblStylePr>
  </w:style>
  <w:style w:type="table" w:customStyle="1" w:styleId="170">
    <w:name w:val="List Table 5 Dark - Accent 3"/>
    <w:basedOn w:val="38"/>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auto"/>
      </w:tcPr>
    </w:tblStylePr>
    <w:tblStylePr w:type="band2Horz">
      <w:tcPr>
        <w:tcBorders>
          <w:top w:val="single" w:color="FFFFFF" w:themeColor="light1" w:sz="4" w:space="0"/>
          <w:bottom w:val="single" w:color="FFFFFF" w:themeColor="light1" w:sz="4" w:space="0"/>
        </w:tcBorders>
        <w:shd w:val="clear" w:color="C9C9C9" w:themeColor="accent3" w:themeTint="98" w:fill="auto"/>
      </w:tcPr>
    </w:tblStylePr>
  </w:style>
  <w:style w:type="table" w:customStyle="1" w:styleId="171">
    <w:name w:val="List Table 5 Dark - Accent 4"/>
    <w:basedOn w:val="38"/>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auto"/>
      </w:tcPr>
    </w:tblStylePr>
    <w:tblStylePr w:type="band2Horz">
      <w:tcPr>
        <w:tcBorders>
          <w:top w:val="single" w:color="FFFFFF" w:themeColor="light1" w:sz="4" w:space="0"/>
          <w:bottom w:val="single" w:color="FFFFFF" w:themeColor="light1" w:sz="4" w:space="0"/>
        </w:tcBorders>
        <w:shd w:val="clear" w:color="FFD864" w:themeColor="accent4" w:themeTint="9A" w:fill="auto"/>
      </w:tcPr>
    </w:tblStylePr>
  </w:style>
  <w:style w:type="table" w:customStyle="1" w:styleId="172">
    <w:name w:val="List Table 5 Dark - Accent 5"/>
    <w:basedOn w:val="38"/>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auto"/>
      </w:tcPr>
    </w:tblStylePr>
    <w:tblStylePr w:type="band2Horz">
      <w:tcPr>
        <w:tcBorders>
          <w:top w:val="single" w:color="FFFFFF" w:themeColor="light1" w:sz="4" w:space="0"/>
          <w:bottom w:val="single" w:color="FFFFFF" w:themeColor="light1" w:sz="4" w:space="0"/>
        </w:tcBorders>
        <w:shd w:val="clear" w:color="8EA9DB" w:themeColor="accent5" w:themeTint="9A" w:fill="auto"/>
      </w:tcPr>
    </w:tblStylePr>
  </w:style>
  <w:style w:type="table" w:customStyle="1" w:styleId="173">
    <w:name w:val="List Table 5 Dark - Accent 6"/>
    <w:basedOn w:val="38"/>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uto"/>
      </w:tcPr>
    </w:tblStylePr>
    <w:tblStylePr w:type="band2Horz">
      <w:tcPr>
        <w:tcBorders>
          <w:top w:val="single" w:color="FFFFFF" w:themeColor="light1" w:sz="4" w:space="0"/>
          <w:bottom w:val="single" w:color="FFFFFF" w:themeColor="light1" w:sz="4" w:space="0"/>
        </w:tcBorders>
        <w:shd w:val="clear" w:color="A9D08E" w:themeColor="accent6" w:themeTint="98" w:fill="auto"/>
      </w:tcPr>
    </w:tblStylePr>
  </w:style>
  <w:style w:type="table" w:customStyle="1" w:styleId="174">
    <w:name w:val="List Table 6 Colorful - Accent 1"/>
    <w:basedOn w:val="38"/>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auto"/>
      </w:tcPr>
    </w:tblStylePr>
    <w:tblStylePr w:type="band1Horz">
      <w:rPr>
        <w:rFonts w:ascii="Arial" w:hAnsi="Arial"/>
        <w:color w:val="245B8C" w:themeColor="accent1" w:themeShade="94"/>
        <w:sz w:val="22"/>
      </w:rPr>
      <w:tcPr>
        <w:shd w:val="clear" w:color="D5E5F4" w:themeColor="accent1" w:themeTint="40" w:fill="auto"/>
      </w:tcPr>
    </w:tblStylePr>
    <w:tblStylePr w:type="band2Horz">
      <w:rPr>
        <w:rFonts w:ascii="Arial" w:hAnsi="Arial"/>
        <w:color w:val="245B8C" w:themeColor="accent1" w:themeShade="94"/>
        <w:sz w:val="22"/>
      </w:rPr>
    </w:tblStylePr>
  </w:style>
  <w:style w:type="table" w:customStyle="1" w:styleId="175">
    <w:name w:val="List Table 6 Colorful - Accent 2"/>
    <w:basedOn w:val="38"/>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auto"/>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38"/>
    <w:autoRedefine/>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auto"/>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auto"/>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38"/>
    <w:autoRedefine/>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auto"/>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38"/>
    <w:autoRedefine/>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auto"/>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auto"/>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38"/>
    <w:autoRedefine/>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auto"/>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auto"/>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0">
    <w:name w:val="List Table 7 Colorful - Accent 1"/>
    <w:basedOn w:val="38"/>
    <w:autoRedefine/>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auto"/>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auto"/>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auto"/>
      </w:tcPr>
    </w:tblStylePr>
    <w:tblStylePr w:type="band1Horz">
      <w:rPr>
        <w:rFonts w:ascii="Arial" w:hAnsi="Arial"/>
        <w:color w:val="245B8C" w:themeColor="accent1" w:themeShade="94"/>
        <w:sz w:val="22"/>
      </w:rPr>
      <w:tcPr>
        <w:shd w:val="clear" w:color="D5E5F4" w:themeColor="accent1" w:themeTint="40" w:fill="auto"/>
      </w:tcPr>
    </w:tblStylePr>
    <w:tblStylePr w:type="band2Horz">
      <w:rPr>
        <w:rFonts w:ascii="Arial" w:hAnsi="Arial"/>
        <w:color w:val="245B8C" w:themeColor="accent1" w:themeShade="94"/>
        <w:sz w:val="22"/>
      </w:rPr>
    </w:tblStylePr>
  </w:style>
  <w:style w:type="table" w:customStyle="1" w:styleId="181">
    <w:name w:val="List Table 7 Colorful - Accent 2"/>
    <w:basedOn w:val="38"/>
    <w:autoRedefine/>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auto"/>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auto"/>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auto"/>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auto"/>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38"/>
    <w:autoRedefine/>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auto"/>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auto"/>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auto"/>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auto"/>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38"/>
    <w:autoRedefine/>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auto"/>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auto"/>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auto"/>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auto"/>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38"/>
    <w:autoRedefine/>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auto"/>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auto"/>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auto"/>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auto"/>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38"/>
    <w:autoRedefine/>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auto"/>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auto"/>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auto"/>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auto"/>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38"/>
    <w:autoRedefine/>
    <w:qFormat/>
    <w:uiPriority w:val="99"/>
    <w:rPr>
      <w:color w:val="404040"/>
    </w:r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87">
    <w:name w:val="Lined - Accent 1"/>
    <w:basedOn w:val="38"/>
    <w:autoRedefine/>
    <w:qFormat/>
    <w:uiPriority w:val="99"/>
    <w:rPr>
      <w:color w:val="404040"/>
    </w:rPr>
    <w:tblStylePr w:type="firstRow">
      <w:rPr>
        <w:rFonts w:ascii="Arial" w:hAnsi="Arial"/>
        <w:color w:val="F2F2F2"/>
        <w:sz w:val="22"/>
      </w:rPr>
      <w:tcPr>
        <w:shd w:val="clear" w:color="68A3D8" w:themeColor="accent1" w:themeTint="EA" w:fill="auto"/>
      </w:tcPr>
    </w:tblStylePr>
    <w:tblStylePr w:type="lastRow">
      <w:rPr>
        <w:rFonts w:ascii="Arial" w:hAnsi="Arial"/>
        <w:color w:val="F2F2F2"/>
        <w:sz w:val="22"/>
      </w:rPr>
      <w:tcPr>
        <w:shd w:val="clear" w:color="68A3D8" w:themeColor="accent1" w:themeTint="EA" w:fill="auto"/>
      </w:tcPr>
    </w:tblStylePr>
    <w:tblStylePr w:type="firstCol">
      <w:rPr>
        <w:rFonts w:ascii="Arial" w:hAnsi="Arial"/>
        <w:color w:val="F2F2F2"/>
        <w:sz w:val="22"/>
      </w:rPr>
      <w:tcPr>
        <w:shd w:val="clear" w:color="68A3D8" w:themeColor="accent1" w:themeTint="EA" w:fill="auto"/>
      </w:tcPr>
    </w:tblStylePr>
    <w:tblStylePr w:type="lastCol">
      <w:rPr>
        <w:rFonts w:ascii="Arial" w:hAnsi="Arial"/>
        <w:color w:val="F2F2F2"/>
        <w:sz w:val="22"/>
      </w:rPr>
      <w:tcPr>
        <w:shd w:val="clear" w:color="68A3D8"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auto"/>
      </w:tcPr>
    </w:tblStylePr>
  </w:style>
  <w:style w:type="table" w:customStyle="1" w:styleId="188">
    <w:name w:val="Lined - Accent 2"/>
    <w:basedOn w:val="38"/>
    <w:autoRedefine/>
    <w:qFormat/>
    <w:uiPriority w:val="99"/>
    <w:rPr>
      <w:color w:val="404040"/>
    </w:rPr>
    <w:tblStylePr w:type="firstRow">
      <w:rPr>
        <w:rFonts w:ascii="Arial" w:hAnsi="Arial"/>
        <w:color w:val="F2F2F2"/>
        <w:sz w:val="22"/>
      </w:rPr>
      <w:tcPr>
        <w:shd w:val="clear" w:color="F4B285" w:themeColor="accent2" w:themeTint="97" w:fill="auto"/>
      </w:tcPr>
    </w:tblStylePr>
    <w:tblStylePr w:type="lastRow">
      <w:rPr>
        <w:rFonts w:ascii="Arial" w:hAnsi="Arial"/>
        <w:color w:val="F2F2F2"/>
        <w:sz w:val="22"/>
      </w:rPr>
      <w:tcPr>
        <w:shd w:val="clear" w:color="F4B285" w:themeColor="accent2" w:themeTint="97" w:fill="auto"/>
      </w:tcPr>
    </w:tblStylePr>
    <w:tblStylePr w:type="firstCol">
      <w:rPr>
        <w:rFonts w:ascii="Arial" w:hAnsi="Arial"/>
        <w:color w:val="F2F2F2"/>
        <w:sz w:val="22"/>
      </w:rPr>
      <w:tcPr>
        <w:shd w:val="clear" w:color="F4B285" w:themeColor="accent2" w:themeTint="97" w:fill="auto"/>
      </w:tcPr>
    </w:tblStylePr>
    <w:tblStylePr w:type="lastCol">
      <w:rPr>
        <w:rFonts w:ascii="Arial" w:hAnsi="Arial"/>
        <w:color w:val="F2F2F2"/>
        <w:sz w:val="22"/>
      </w:rPr>
      <w:tcPr>
        <w:shd w:val="clear" w:color="F4B285"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auto"/>
      </w:tcPr>
    </w:tblStylePr>
  </w:style>
  <w:style w:type="table" w:customStyle="1" w:styleId="189">
    <w:name w:val="Lined - Accent 3"/>
    <w:basedOn w:val="38"/>
    <w:autoRedefine/>
    <w:qFormat/>
    <w:uiPriority w:val="99"/>
    <w:rPr>
      <w:color w:val="404040"/>
    </w:rPr>
    <w:tblStylePr w:type="firstRow">
      <w:rPr>
        <w:rFonts w:ascii="Arial" w:hAnsi="Arial"/>
        <w:color w:val="F2F2F2"/>
        <w:sz w:val="22"/>
      </w:rPr>
      <w:tcPr>
        <w:shd w:val="clear" w:color="A5A5A5" w:themeColor="accent3" w:themeTint="FE" w:fill="auto"/>
      </w:tcPr>
    </w:tblStylePr>
    <w:tblStylePr w:type="lastRow">
      <w:rPr>
        <w:rFonts w:ascii="Arial" w:hAnsi="Arial"/>
        <w:color w:val="F2F2F2"/>
        <w:sz w:val="22"/>
      </w:rPr>
      <w:tcPr>
        <w:shd w:val="clear" w:color="A5A5A5" w:themeColor="accent3" w:themeTint="FE" w:fill="auto"/>
      </w:tcPr>
    </w:tblStylePr>
    <w:tblStylePr w:type="firstCol">
      <w:rPr>
        <w:rFonts w:ascii="Arial" w:hAnsi="Arial"/>
        <w:color w:val="F2F2F2"/>
        <w:sz w:val="22"/>
      </w:rPr>
      <w:tcPr>
        <w:shd w:val="clear" w:color="A5A5A5" w:themeColor="accent3" w:themeTint="FE" w:fill="auto"/>
      </w:tcPr>
    </w:tblStylePr>
    <w:tblStylePr w:type="lastCol">
      <w:rPr>
        <w:rFonts w:ascii="Arial" w:hAnsi="Arial"/>
        <w:color w:val="F2F2F2"/>
        <w:sz w:val="22"/>
      </w:r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auto"/>
      </w:tcPr>
    </w:tblStylePr>
  </w:style>
  <w:style w:type="table" w:customStyle="1" w:styleId="190">
    <w:name w:val="Lined - Accent 4"/>
    <w:basedOn w:val="38"/>
    <w:autoRedefine/>
    <w:qFormat/>
    <w:uiPriority w:val="99"/>
    <w:rPr>
      <w:color w:val="404040"/>
    </w:rPr>
    <w:tblStylePr w:type="firstRow">
      <w:rPr>
        <w:rFonts w:ascii="Arial" w:hAnsi="Arial"/>
        <w:color w:val="F2F2F2"/>
        <w:sz w:val="22"/>
      </w:rPr>
      <w:tcPr>
        <w:shd w:val="clear" w:color="FFD864" w:themeColor="accent4" w:themeTint="9A" w:fill="auto"/>
      </w:tcPr>
    </w:tblStylePr>
    <w:tblStylePr w:type="lastRow">
      <w:rPr>
        <w:rFonts w:ascii="Arial" w:hAnsi="Arial"/>
        <w:color w:val="F2F2F2"/>
        <w:sz w:val="22"/>
      </w:rPr>
      <w:tcPr>
        <w:shd w:val="clear" w:color="FFD864" w:themeColor="accent4" w:themeTint="9A" w:fill="auto"/>
      </w:tcPr>
    </w:tblStylePr>
    <w:tblStylePr w:type="firstCol">
      <w:rPr>
        <w:rFonts w:ascii="Arial" w:hAnsi="Arial"/>
        <w:color w:val="F2F2F2"/>
        <w:sz w:val="22"/>
      </w:rPr>
      <w:tcPr>
        <w:shd w:val="clear" w:color="FFD864" w:themeColor="accent4" w:themeTint="9A" w:fill="auto"/>
      </w:tcPr>
    </w:tblStylePr>
    <w:tblStylePr w:type="lastCol">
      <w:rPr>
        <w:rFonts w:ascii="Arial" w:hAnsi="Arial"/>
        <w:color w:val="F2F2F2"/>
        <w:sz w:val="22"/>
      </w:rPr>
      <w:tcPr>
        <w:shd w:val="clear" w:color="FFD864"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auto"/>
      </w:tcPr>
    </w:tblStylePr>
  </w:style>
  <w:style w:type="table" w:customStyle="1" w:styleId="191">
    <w:name w:val="Lined - Accent 5"/>
    <w:basedOn w:val="38"/>
    <w:autoRedefine/>
    <w:qFormat/>
    <w:uiPriority w:val="99"/>
    <w:rPr>
      <w:color w:val="404040"/>
    </w:rPr>
    <w:tblStylePr w:type="firstRow">
      <w:rPr>
        <w:rFonts w:ascii="Arial" w:hAnsi="Arial"/>
        <w:color w:val="F2F2F2"/>
        <w:sz w:val="22"/>
      </w:rPr>
      <w:tcPr>
        <w:shd w:val="clear" w:color="4472C4" w:themeColor="accent5" w:fill="auto"/>
      </w:tcPr>
    </w:tblStylePr>
    <w:tblStylePr w:type="lastRow">
      <w:rPr>
        <w:rFonts w:ascii="Arial" w:hAnsi="Arial"/>
        <w:color w:val="F2F2F2"/>
        <w:sz w:val="22"/>
      </w:rPr>
      <w:tcPr>
        <w:shd w:val="clear" w:color="4472C4" w:themeColor="accent5" w:fill="auto"/>
      </w:tcPr>
    </w:tblStylePr>
    <w:tblStylePr w:type="firstCol">
      <w:rPr>
        <w:rFonts w:ascii="Arial" w:hAnsi="Arial"/>
        <w:color w:val="F2F2F2"/>
        <w:sz w:val="22"/>
      </w:rPr>
      <w:tcPr>
        <w:shd w:val="clear" w:color="4472C4" w:themeColor="accent5" w:fill="auto"/>
      </w:tcPr>
    </w:tblStylePr>
    <w:tblStylePr w:type="lastCol">
      <w:rPr>
        <w:rFonts w:ascii="Arial" w:hAnsi="Arial"/>
        <w:color w:val="F2F2F2"/>
        <w:sz w:val="22"/>
      </w:r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auto"/>
      </w:tcPr>
    </w:tblStylePr>
  </w:style>
  <w:style w:type="table" w:customStyle="1" w:styleId="192">
    <w:name w:val="Lined - Accent 6"/>
    <w:basedOn w:val="38"/>
    <w:autoRedefine/>
    <w:qFormat/>
    <w:uiPriority w:val="99"/>
    <w:rPr>
      <w:color w:val="404040"/>
    </w:rPr>
    <w:tblStylePr w:type="firstRow">
      <w:rPr>
        <w:rFonts w:ascii="Arial" w:hAnsi="Arial"/>
        <w:color w:val="F2F2F2"/>
        <w:sz w:val="22"/>
      </w:rPr>
      <w:tcPr>
        <w:shd w:val="clear" w:color="70AD47" w:themeColor="accent6" w:fill="auto"/>
      </w:tcPr>
    </w:tblStylePr>
    <w:tblStylePr w:type="lastRow">
      <w:rPr>
        <w:rFonts w:ascii="Arial" w:hAnsi="Arial"/>
        <w:color w:val="F2F2F2"/>
        <w:sz w:val="22"/>
      </w:rPr>
      <w:tcPr>
        <w:shd w:val="clear" w:color="70AD47" w:themeColor="accent6" w:fill="auto"/>
      </w:tcPr>
    </w:tblStylePr>
    <w:tblStylePr w:type="firstCol">
      <w:rPr>
        <w:rFonts w:ascii="Arial" w:hAnsi="Arial"/>
        <w:color w:val="F2F2F2"/>
        <w:sz w:val="22"/>
      </w:rPr>
      <w:tcPr>
        <w:shd w:val="clear" w:color="70AD47" w:themeColor="accent6" w:fill="auto"/>
      </w:tcPr>
    </w:tblStylePr>
    <w:tblStylePr w:type="lastCol">
      <w:rPr>
        <w:rFonts w:ascii="Arial" w:hAnsi="Arial"/>
        <w:color w:val="F2F2F2"/>
        <w:sz w:val="22"/>
      </w:r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auto"/>
      </w:tcPr>
    </w:tblStylePr>
  </w:style>
  <w:style w:type="table" w:customStyle="1" w:styleId="193">
    <w:name w:val="Bordered &amp; Lined - Accent"/>
    <w:basedOn w:val="38"/>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auto"/>
      </w:tcPr>
    </w:tblStylePr>
    <w:tblStylePr w:type="lastRow">
      <w:rPr>
        <w:rFonts w:ascii="Arial" w:hAnsi="Arial"/>
        <w:color w:val="F2F2F2"/>
        <w:sz w:val="22"/>
      </w:rPr>
      <w:tcPr>
        <w:shd w:val="clear" w:color="7E7E7E" w:themeColor="text1" w:themeTint="80" w:fill="auto"/>
      </w:tcPr>
    </w:tblStylePr>
    <w:tblStylePr w:type="firstCol">
      <w:rPr>
        <w:rFonts w:ascii="Arial" w:hAnsi="Arial"/>
        <w:color w:val="F2F2F2"/>
        <w:sz w:val="22"/>
      </w:rPr>
      <w:tcPr>
        <w:shd w:val="clear" w:color="7E7E7E" w:themeColor="text1" w:themeTint="80" w:fill="auto"/>
      </w:tcPr>
    </w:tblStylePr>
    <w:tblStylePr w:type="lastCol">
      <w:rPr>
        <w:rFonts w:ascii="Arial" w:hAnsi="Arial"/>
        <w:color w:val="F2F2F2"/>
        <w:sz w:val="22"/>
      </w:rPr>
      <w:tcPr>
        <w:shd w:val="clear" w:color="7E7E7E" w:themeColor="text1" w:themeTint="80" w:fill="auto"/>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auto"/>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auto"/>
      </w:tcPr>
    </w:tblStylePr>
  </w:style>
  <w:style w:type="table" w:customStyle="1" w:styleId="194">
    <w:name w:val="Bordered &amp; Lined - Accent 1"/>
    <w:basedOn w:val="38"/>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auto"/>
      </w:tcPr>
    </w:tblStylePr>
    <w:tblStylePr w:type="lastRow">
      <w:rPr>
        <w:rFonts w:ascii="Arial" w:hAnsi="Arial"/>
        <w:color w:val="F2F2F2"/>
        <w:sz w:val="22"/>
      </w:rPr>
      <w:tcPr>
        <w:shd w:val="clear" w:color="68A3D8" w:themeColor="accent1" w:themeTint="EA" w:fill="auto"/>
      </w:tcPr>
    </w:tblStylePr>
    <w:tblStylePr w:type="firstCol">
      <w:rPr>
        <w:rFonts w:ascii="Arial" w:hAnsi="Arial"/>
        <w:color w:val="F2F2F2"/>
        <w:sz w:val="22"/>
      </w:rPr>
      <w:tcPr>
        <w:shd w:val="clear" w:color="68A3D8" w:themeColor="accent1" w:themeTint="EA" w:fill="auto"/>
      </w:tcPr>
    </w:tblStylePr>
    <w:tblStylePr w:type="lastCol">
      <w:rPr>
        <w:rFonts w:ascii="Arial" w:hAnsi="Arial"/>
        <w:color w:val="F2F2F2"/>
        <w:sz w:val="22"/>
      </w:rPr>
      <w:tcPr>
        <w:shd w:val="clear" w:color="68A3D8" w:themeColor="accent1" w:themeTint="EA" w:fill="auto"/>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auto"/>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auto"/>
      </w:tcPr>
    </w:tblStylePr>
  </w:style>
  <w:style w:type="table" w:customStyle="1" w:styleId="195">
    <w:name w:val="Bordered &amp; Lined - Accent 2"/>
    <w:basedOn w:val="38"/>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auto"/>
      </w:tcPr>
    </w:tblStylePr>
    <w:tblStylePr w:type="lastRow">
      <w:rPr>
        <w:rFonts w:ascii="Arial" w:hAnsi="Arial"/>
        <w:color w:val="F2F2F2"/>
        <w:sz w:val="22"/>
      </w:rPr>
      <w:tcPr>
        <w:shd w:val="clear" w:color="F4B285" w:themeColor="accent2" w:themeTint="97" w:fill="auto"/>
      </w:tcPr>
    </w:tblStylePr>
    <w:tblStylePr w:type="firstCol">
      <w:rPr>
        <w:rFonts w:ascii="Arial" w:hAnsi="Arial"/>
        <w:color w:val="F2F2F2"/>
        <w:sz w:val="22"/>
      </w:rPr>
      <w:tcPr>
        <w:shd w:val="clear" w:color="F4B285" w:themeColor="accent2" w:themeTint="97" w:fill="auto"/>
      </w:tcPr>
    </w:tblStylePr>
    <w:tblStylePr w:type="lastCol">
      <w:rPr>
        <w:rFonts w:ascii="Arial" w:hAnsi="Arial"/>
        <w:color w:val="F2F2F2"/>
        <w:sz w:val="22"/>
      </w:rPr>
      <w:tcPr>
        <w:shd w:val="clear" w:color="F4B285" w:themeColor="accent2" w:themeTint="97" w:fill="auto"/>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auto"/>
      </w:tcPr>
    </w:tblStylePr>
  </w:style>
  <w:style w:type="table" w:customStyle="1" w:styleId="196">
    <w:name w:val="Bordered &amp; Lined - Accent 3"/>
    <w:basedOn w:val="38"/>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uto"/>
      </w:tcPr>
    </w:tblStylePr>
    <w:tblStylePr w:type="lastRow">
      <w:rPr>
        <w:rFonts w:ascii="Arial" w:hAnsi="Arial"/>
        <w:color w:val="F2F2F2"/>
        <w:sz w:val="22"/>
      </w:rPr>
      <w:tcPr>
        <w:shd w:val="clear" w:color="A5A5A5" w:themeColor="accent3" w:themeTint="FE" w:fill="auto"/>
      </w:tcPr>
    </w:tblStylePr>
    <w:tblStylePr w:type="firstCol">
      <w:rPr>
        <w:rFonts w:ascii="Arial" w:hAnsi="Arial"/>
        <w:color w:val="F2F2F2"/>
        <w:sz w:val="22"/>
      </w:rPr>
      <w:tcPr>
        <w:shd w:val="clear" w:color="A5A5A5" w:themeColor="accent3" w:themeTint="FE" w:fill="auto"/>
      </w:tcPr>
    </w:tblStylePr>
    <w:tblStylePr w:type="lastCol">
      <w:rPr>
        <w:rFonts w:ascii="Arial" w:hAnsi="Arial"/>
        <w:color w:val="F2F2F2"/>
        <w:sz w:val="22"/>
      </w:r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auto"/>
      </w:tcPr>
    </w:tblStylePr>
  </w:style>
  <w:style w:type="table" w:customStyle="1" w:styleId="197">
    <w:name w:val="Bordered &amp; Lined - Accent 4"/>
    <w:basedOn w:val="38"/>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auto"/>
      </w:tcPr>
    </w:tblStylePr>
    <w:tblStylePr w:type="lastRow">
      <w:rPr>
        <w:rFonts w:ascii="Arial" w:hAnsi="Arial"/>
        <w:color w:val="F2F2F2"/>
        <w:sz w:val="22"/>
      </w:rPr>
      <w:tcPr>
        <w:shd w:val="clear" w:color="FFD864" w:themeColor="accent4" w:themeTint="9A" w:fill="auto"/>
      </w:tcPr>
    </w:tblStylePr>
    <w:tblStylePr w:type="firstCol">
      <w:rPr>
        <w:rFonts w:ascii="Arial" w:hAnsi="Arial"/>
        <w:color w:val="F2F2F2"/>
        <w:sz w:val="22"/>
      </w:rPr>
      <w:tcPr>
        <w:shd w:val="clear" w:color="FFD864" w:themeColor="accent4" w:themeTint="9A" w:fill="auto"/>
      </w:tcPr>
    </w:tblStylePr>
    <w:tblStylePr w:type="lastCol">
      <w:rPr>
        <w:rFonts w:ascii="Arial" w:hAnsi="Arial"/>
        <w:color w:val="F2F2F2"/>
        <w:sz w:val="22"/>
      </w:rPr>
      <w:tcPr>
        <w:shd w:val="clear" w:color="FFD864" w:themeColor="accent4" w:themeTint="9A" w:fill="auto"/>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auto"/>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auto"/>
      </w:tcPr>
    </w:tblStylePr>
  </w:style>
  <w:style w:type="table" w:customStyle="1" w:styleId="198">
    <w:name w:val="Bordered &amp; Lined - Accent 5"/>
    <w:basedOn w:val="38"/>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auto"/>
      </w:tcPr>
    </w:tblStylePr>
    <w:tblStylePr w:type="lastRow">
      <w:rPr>
        <w:rFonts w:ascii="Arial" w:hAnsi="Arial"/>
        <w:color w:val="F2F2F2"/>
        <w:sz w:val="22"/>
      </w:rPr>
      <w:tcPr>
        <w:shd w:val="clear" w:color="4472C4" w:themeColor="accent5" w:fill="auto"/>
      </w:tcPr>
    </w:tblStylePr>
    <w:tblStylePr w:type="firstCol">
      <w:rPr>
        <w:rFonts w:ascii="Arial" w:hAnsi="Arial"/>
        <w:color w:val="F2F2F2"/>
        <w:sz w:val="22"/>
      </w:rPr>
      <w:tcPr>
        <w:shd w:val="clear" w:color="4472C4" w:themeColor="accent5" w:fill="auto"/>
      </w:tcPr>
    </w:tblStylePr>
    <w:tblStylePr w:type="lastCol">
      <w:rPr>
        <w:rFonts w:ascii="Arial" w:hAnsi="Arial"/>
        <w:color w:val="F2F2F2"/>
        <w:sz w:val="22"/>
      </w:rPr>
      <w:tcPr>
        <w:shd w:val="clear" w:color="4472C4" w:themeColor="accent5" w:fill="auto"/>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auto"/>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auto"/>
      </w:tcPr>
    </w:tblStylePr>
  </w:style>
  <w:style w:type="table" w:customStyle="1" w:styleId="199">
    <w:name w:val="Bordered &amp; Lined - Accent 6"/>
    <w:basedOn w:val="38"/>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auto"/>
      </w:tcPr>
    </w:tblStylePr>
    <w:tblStylePr w:type="lastRow">
      <w:rPr>
        <w:rFonts w:ascii="Arial" w:hAnsi="Arial"/>
        <w:color w:val="F2F2F2"/>
        <w:sz w:val="22"/>
      </w:rPr>
      <w:tcPr>
        <w:shd w:val="clear" w:color="70AD47" w:themeColor="accent6" w:fill="auto"/>
      </w:tcPr>
    </w:tblStylePr>
    <w:tblStylePr w:type="firstCol">
      <w:rPr>
        <w:rFonts w:ascii="Arial" w:hAnsi="Arial"/>
        <w:color w:val="F2F2F2"/>
        <w:sz w:val="22"/>
      </w:rPr>
      <w:tcPr>
        <w:shd w:val="clear" w:color="70AD47" w:themeColor="accent6" w:fill="auto"/>
      </w:tcPr>
    </w:tblStylePr>
    <w:tblStylePr w:type="lastCol">
      <w:rPr>
        <w:rFonts w:ascii="Arial" w:hAnsi="Arial"/>
        <w:color w:val="F2F2F2"/>
        <w:sz w:val="22"/>
      </w:r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auto"/>
      </w:tcPr>
    </w:tblStylePr>
  </w:style>
  <w:style w:type="table" w:customStyle="1" w:styleId="200">
    <w:name w:val="Bordered"/>
    <w:basedOn w:val="38"/>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38"/>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2">
    <w:name w:val="Bordered - Accent 2"/>
    <w:basedOn w:val="38"/>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3">
    <w:name w:val="Bordered - Accent 3"/>
    <w:basedOn w:val="38"/>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4">
    <w:name w:val="Bordered - Accent 4"/>
    <w:basedOn w:val="38"/>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5">
    <w:name w:val="Bordered - Accent 5"/>
    <w:basedOn w:val="38"/>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6">
    <w:name w:val="Bordered - Accent 6"/>
    <w:basedOn w:val="38"/>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7">
    <w:name w:val="Footnote Text Char"/>
    <w:autoRedefine/>
    <w:qFormat/>
    <w:uiPriority w:val="99"/>
    <w:rPr>
      <w:sz w:val="18"/>
    </w:rPr>
  </w:style>
  <w:style w:type="character" w:customStyle="1" w:styleId="208">
    <w:name w:val="尾注文本 字符"/>
    <w:link w:val="23"/>
    <w:autoRedefine/>
    <w:qFormat/>
    <w:uiPriority w:val="99"/>
    <w:rPr>
      <w:sz w:val="20"/>
    </w:rPr>
  </w:style>
  <w:style w:type="paragraph" w:customStyle="1" w:styleId="209">
    <w:name w:val="TOC 标题11"/>
    <w:autoRedefine/>
    <w:unhideWhenUsed/>
    <w:qFormat/>
    <w:uiPriority w:val="39"/>
    <w:rPr>
      <w:rFonts w:ascii="Times New Roman" w:hAnsi="Times New Roman" w:eastAsia="宋体" w:cs="Times New Roman"/>
      <w:lang w:val="en-US" w:eastAsia="zh-CN" w:bidi="ar-SA"/>
    </w:rPr>
  </w:style>
  <w:style w:type="paragraph" w:customStyle="1" w:styleId="210">
    <w:name w:val="wz1"/>
    <w:basedOn w:val="1"/>
    <w:autoRedefine/>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sz w:val="22"/>
      <w:szCs w:val="22"/>
    </w:rPr>
  </w:style>
  <w:style w:type="character" w:customStyle="1" w:styleId="211">
    <w:name w:val="read"/>
    <w:basedOn w:val="40"/>
    <w:autoRedefine/>
    <w:qFormat/>
    <w:uiPriority w:val="0"/>
  </w:style>
  <w:style w:type="paragraph" w:customStyle="1" w:styleId="212">
    <w:name w:val="Char"/>
    <w:basedOn w:val="1"/>
    <w:autoRedefine/>
    <w:qFormat/>
    <w:uiPriority w:val="0"/>
  </w:style>
  <w:style w:type="paragraph" w:customStyle="1" w:styleId="213">
    <w:name w:val="Char1"/>
    <w:basedOn w:val="1"/>
    <w:autoRedefine/>
    <w:qFormat/>
    <w:uiPriority w:val="0"/>
    <w:pPr>
      <w:tabs>
        <w:tab w:val="left" w:pos="832"/>
      </w:tabs>
      <w:ind w:left="832" w:hanging="420"/>
      <w:jc w:val="center"/>
    </w:pPr>
    <w:rPr>
      <w:rFonts w:ascii="楷体_GB2312" w:eastAsia="楷体_GB2312"/>
      <w:b/>
      <w:color w:val="000080"/>
      <w:sz w:val="30"/>
      <w:szCs w:val="30"/>
    </w:rPr>
  </w:style>
  <w:style w:type="paragraph" w:customStyle="1" w:styleId="214">
    <w:name w:val="Char2"/>
    <w:basedOn w:val="1"/>
    <w:autoRedefine/>
    <w:qFormat/>
    <w:uiPriority w:val="0"/>
  </w:style>
  <w:style w:type="paragraph" w:customStyle="1" w:styleId="215">
    <w:name w:val="Char Char Char Char Char Char Char"/>
    <w:basedOn w:val="1"/>
    <w:autoRedefine/>
    <w:qFormat/>
    <w:uiPriority w:val="0"/>
  </w:style>
  <w:style w:type="paragraph" w:customStyle="1" w:styleId="216">
    <w:name w:val="Default"/>
    <w:autoRedefine/>
    <w:qFormat/>
    <w:uiPriority w:val="0"/>
    <w:pPr>
      <w:widowControl w:val="0"/>
    </w:pPr>
    <w:rPr>
      <w:rFonts w:ascii="宋体" w:hAnsi="Times New Roman" w:eastAsia="宋体" w:cs="Times New Roman"/>
      <w:color w:val="000000"/>
      <w:sz w:val="24"/>
      <w:szCs w:val="24"/>
      <w:lang w:val="en-US" w:eastAsia="zh-CN" w:bidi="ar-SA"/>
    </w:rPr>
  </w:style>
  <w:style w:type="character" w:customStyle="1" w:styleId="217">
    <w:name w:val="批注文字 字符"/>
    <w:link w:val="16"/>
    <w:autoRedefine/>
    <w:qFormat/>
    <w:uiPriority w:val="0"/>
    <w:rPr>
      <w:rFonts w:eastAsia="宋体"/>
      <w:sz w:val="21"/>
      <w:szCs w:val="24"/>
      <w:lang w:val="en-US" w:eastAsia="zh-CN" w:bidi="ar-SA"/>
    </w:rPr>
  </w:style>
  <w:style w:type="paragraph" w:customStyle="1" w:styleId="218">
    <w:name w:val="修订1"/>
    <w:autoRedefine/>
    <w:hidden/>
    <w:semiHidden/>
    <w:qFormat/>
    <w:uiPriority w:val="99"/>
    <w:rPr>
      <w:rFonts w:ascii="Times New Roman" w:hAnsi="Times New Roman" w:eastAsia="宋体" w:cs="Times New Roman"/>
      <w:sz w:val="21"/>
      <w:szCs w:val="24"/>
      <w:lang w:val="en-US" w:eastAsia="zh-CN" w:bidi="ar-SA"/>
    </w:rPr>
  </w:style>
  <w:style w:type="character" w:customStyle="1" w:styleId="219">
    <w:name w:val="标题 字符"/>
    <w:link w:val="36"/>
    <w:autoRedefine/>
    <w:qFormat/>
    <w:uiPriority w:val="0"/>
    <w:rPr>
      <w:rFonts w:ascii="Arial" w:hAnsi="Arial" w:cs="Arial"/>
      <w:b/>
      <w:bCs/>
      <w:sz w:val="32"/>
      <w:szCs w:val="32"/>
    </w:rPr>
  </w:style>
  <w:style w:type="character" w:customStyle="1" w:styleId="220">
    <w:name w:val="页脚 字符"/>
    <w:link w:val="24"/>
    <w:autoRedefine/>
    <w:qFormat/>
    <w:uiPriority w:val="99"/>
    <w:rPr>
      <w:sz w:val="18"/>
      <w:szCs w:val="18"/>
    </w:rPr>
  </w:style>
  <w:style w:type="character" w:customStyle="1" w:styleId="221">
    <w:name w:val="页眉 字符"/>
    <w:link w:val="25"/>
    <w:autoRedefine/>
    <w:qFormat/>
    <w:uiPriority w:val="99"/>
    <w:rPr>
      <w:sz w:val="18"/>
      <w:szCs w:val="18"/>
    </w:rPr>
  </w:style>
  <w:style w:type="character" w:customStyle="1" w:styleId="222">
    <w:name w:val="标题 1 字符"/>
    <w:link w:val="3"/>
    <w:autoRedefine/>
    <w:qFormat/>
    <w:uiPriority w:val="0"/>
    <w:rPr>
      <w:b/>
      <w:bCs/>
      <w:sz w:val="44"/>
      <w:szCs w:val="44"/>
    </w:rPr>
  </w:style>
  <w:style w:type="paragraph" w:customStyle="1" w:styleId="223">
    <w:name w:val="Char3"/>
    <w:basedOn w:val="1"/>
    <w:autoRedefine/>
    <w:qFormat/>
    <w:uiPriority w:val="0"/>
  </w:style>
  <w:style w:type="paragraph" w:customStyle="1" w:styleId="224">
    <w:name w:val="Char11"/>
    <w:basedOn w:val="1"/>
    <w:autoRedefine/>
    <w:qFormat/>
    <w:uiPriority w:val="0"/>
    <w:pPr>
      <w:tabs>
        <w:tab w:val="left" w:pos="832"/>
      </w:tabs>
      <w:ind w:left="832" w:hanging="420"/>
      <w:jc w:val="center"/>
    </w:pPr>
    <w:rPr>
      <w:rFonts w:ascii="楷体_GB2312" w:eastAsia="楷体_GB2312"/>
      <w:b/>
      <w:color w:val="000080"/>
      <w:sz w:val="30"/>
      <w:szCs w:val="30"/>
    </w:rPr>
  </w:style>
  <w:style w:type="paragraph" w:customStyle="1" w:styleId="225">
    <w:name w:val="Char Char Char Char Char Char Char1"/>
    <w:basedOn w:val="1"/>
    <w:autoRedefine/>
    <w:qFormat/>
    <w:uiPriority w:val="0"/>
  </w:style>
  <w:style w:type="character" w:customStyle="1" w:styleId="226">
    <w:name w:val="脚注文本 字符"/>
    <w:basedOn w:val="40"/>
    <w:link w:val="29"/>
    <w:autoRedefine/>
    <w:semiHidden/>
    <w:qFormat/>
    <w:uiPriority w:val="0"/>
    <w:rPr>
      <w:sz w:val="18"/>
      <w:szCs w:val="18"/>
    </w:rPr>
  </w:style>
  <w:style w:type="paragraph" w:customStyle="1" w:styleId="227">
    <w:name w:val="修订2"/>
    <w:autoRedefine/>
    <w:hidden/>
    <w:unhideWhenUsed/>
    <w:qFormat/>
    <w:uiPriority w:val="99"/>
    <w:rPr>
      <w:rFonts w:ascii="Times New Roman" w:hAnsi="Times New Roman" w:eastAsia="宋体" w:cs="Times New Roman"/>
      <w:sz w:val="21"/>
      <w:szCs w:val="24"/>
      <w:lang w:val="en-US" w:eastAsia="zh-CN" w:bidi="ar-SA"/>
    </w:rPr>
  </w:style>
  <w:style w:type="paragraph" w:customStyle="1" w:styleId="228">
    <w:name w:val="正文1"/>
    <w:link w:val="229"/>
    <w:autoRedefine/>
    <w:qFormat/>
    <w:uiPriority w:val="0"/>
    <w:pPr>
      <w:widowControl w:val="0"/>
      <w:spacing w:after="200" w:line="276" w:lineRule="auto"/>
      <w:jc w:val="both"/>
    </w:pPr>
    <w:rPr>
      <w:rFonts w:ascii="Arial" w:hAnsi="Arial" w:eastAsia="宋体" w:cs="Arial"/>
      <w:sz w:val="21"/>
      <w:szCs w:val="22"/>
      <w:lang w:val="en-US" w:eastAsia="zh-CN" w:bidi="ar-SA"/>
    </w:rPr>
  </w:style>
  <w:style w:type="character" w:customStyle="1" w:styleId="229">
    <w:name w:val="unnamed11"/>
    <w:link w:val="228"/>
    <w:autoRedefine/>
    <w:qFormat/>
    <w:uiPriority w:val="0"/>
    <w:rPr>
      <w:rFonts w:ascii="Arial" w:hAnsi="Arial" w:cs="Arial"/>
      <w:sz w:val="21"/>
      <w:szCs w:val="22"/>
    </w:rPr>
  </w:style>
  <w:style w:type="paragraph" w:customStyle="1" w:styleId="230">
    <w:name w:val="修订3"/>
    <w:autoRedefine/>
    <w:hidden/>
    <w:semiHidden/>
    <w:qFormat/>
    <w:uiPriority w:val="99"/>
    <w:rPr>
      <w:rFonts w:ascii="Times New Roman" w:hAnsi="Times New Roman" w:eastAsia="宋体" w:cs="Times New Roman"/>
      <w:sz w:val="21"/>
      <w:szCs w:val="24"/>
      <w:lang w:val="en-US" w:eastAsia="zh-CN" w:bidi="ar-SA"/>
    </w:rPr>
  </w:style>
  <w:style w:type="paragraph" w:customStyle="1" w:styleId="231">
    <w:name w:val="修订4"/>
    <w:autoRedefine/>
    <w:hidden/>
    <w:unhideWhenUsed/>
    <w:qFormat/>
    <w:uiPriority w:val="99"/>
    <w:rPr>
      <w:rFonts w:ascii="Times New Roman" w:hAnsi="Times New Roman" w:eastAsia="宋体" w:cs="Times New Roman"/>
      <w:sz w:val="21"/>
      <w:szCs w:val="24"/>
      <w:lang w:val="en-US" w:eastAsia="zh-CN" w:bidi="ar-SA"/>
    </w:rPr>
  </w:style>
  <w:style w:type="character" w:customStyle="1" w:styleId="232">
    <w:name w:val="正文文本 字符"/>
    <w:basedOn w:val="40"/>
    <w:link w:val="17"/>
    <w:autoRedefine/>
    <w:qFormat/>
    <w:uiPriority w:val="0"/>
    <w:rPr>
      <w:rFonts w:ascii="仿宋_GB2312" w:eastAsia="仿宋_GB2312"/>
      <w:color w:val="000000"/>
      <w:sz w:val="24"/>
      <w:szCs w:val="28"/>
    </w:rPr>
  </w:style>
  <w:style w:type="paragraph" w:customStyle="1" w:styleId="233">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234">
    <w:name w:val="修订6"/>
    <w:autoRedefine/>
    <w:hidden/>
    <w:unhideWhenUsed/>
    <w:qFormat/>
    <w:uiPriority w:val="99"/>
    <w:rPr>
      <w:rFonts w:ascii="Times New Roman" w:hAnsi="Times New Roman" w:eastAsia="宋体" w:cs="Times New Roman"/>
      <w:sz w:val="21"/>
      <w:szCs w:val="24"/>
      <w:lang w:val="en-US" w:eastAsia="zh-CN" w:bidi="ar-SA"/>
    </w:rPr>
  </w:style>
  <w:style w:type="paragraph" w:customStyle="1" w:styleId="235">
    <w:name w:val="修订7"/>
    <w:autoRedefine/>
    <w:hidden/>
    <w:unhideWhenUsed/>
    <w:qFormat/>
    <w:uiPriority w:val="99"/>
    <w:rPr>
      <w:rFonts w:ascii="Times New Roman" w:hAnsi="Times New Roman" w:eastAsia="宋体" w:cs="Times New Roman"/>
      <w:sz w:val="21"/>
      <w:szCs w:val="24"/>
      <w:lang w:val="en-US" w:eastAsia="zh-CN" w:bidi="ar-SA"/>
    </w:rPr>
  </w:style>
  <w:style w:type="paragraph" w:customStyle="1" w:styleId="236">
    <w:name w:val="Revision"/>
    <w:autoRedefine/>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Normal.dotm</Template>
  <Pages>43</Pages>
  <Words>4632</Words>
  <Characters>26405</Characters>
  <Lines>220</Lines>
  <Paragraphs>61</Paragraphs>
  <TotalTime>19</TotalTime>
  <ScaleCrop>false</ScaleCrop>
  <LinksUpToDate>false</LinksUpToDate>
  <CharactersWithSpaces>30976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2025-12-16T03:54:00Z</dcterms:created>
  <dc:creator>资产托管部</dc:creator>
  <cp:lastModifiedBy>刘东方</cp:lastModifiedBy>
  <dcterms:modified xsi:type="dcterms:W3CDTF">2026-04-08T08:43:44Z</dcterms:modified>
  <dc:title>托管协议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8f53b1d96b6743b7976d0e603daf8f7f</vt:lpwstr>
  </property>
  <property fmtid="{D5CDD505-2E9C-101B-9397-08002B2CF9AE}" pid="3" name="verificationId">
    <vt:lpwstr>9d793fceb6f041fe</vt:lpwstr>
  </property>
  <property fmtid="{D5CDD505-2E9C-101B-9397-08002B2CF9AE}" pid="4" name="KSOProductBuildVer">
    <vt:lpwstr>2052-12.1.0.16729</vt:lpwstr>
  </property>
  <property fmtid="{D5CDD505-2E9C-101B-9397-08002B2CF9AE}" pid="5" name="ICV">
    <vt:lpwstr>DECC70E78EC44F789428D3C1CAA7693A</vt:lpwstr>
  </property>
  <property fmtid="{D5CDD505-2E9C-101B-9397-08002B2CF9AE}" pid="6" name="_KSOProductBuildMID">
    <vt:lpwstr>CGWFY6GK7RSA06TG9ZRNQL0R7N8MOXVR9U0XLJD8XFFRTG5TN0BJKC0EFYSTP86RAUMXEOL5ZHK78IEJRJFTRF8P8RLMWLLBAXOO0HB39321431C1EB323DFFADE0FE44636B2A9</vt:lpwstr>
  </property>
  <property fmtid="{D5CDD505-2E9C-101B-9397-08002B2CF9AE}" pid="7" name="_KSOProductBuildSID">
    <vt:lpwstr>DQWM06GK79VA0T9GQAR8YL007NZMO7VRQE06BJD6XGPRTGCT6MBJRCJFFS6TPBRRBNMXCOLSZH578INJQOFT0FFA8RZ0WHLB8EODQHB3D5614D2044DFAE7F2CAA46835F3AAE2C</vt:lpwstr>
  </property>
  <property fmtid="{D5CDD505-2E9C-101B-9397-08002B2CF9AE}" pid="8" name="KSOTemplateDocerSaveRecord">
    <vt:lpwstr>eyJoZGlkIjoiODhjYzVlNWM1MmM3MDdjZGVhNTBiNzI2MjYwYTQ3MDUiLCJ1c2VySWQiOiIzMDIwMTM0MjgifQ==</vt:lpwstr>
  </property>
</Properties>
</file>