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20" w:lineRule="exact"/>
        <w:jc w:val="center"/>
        <w:rPr>
          <w:rFonts w:ascii="仿宋_GB2312" w:hAnsi="仿宋" w:eastAsia="仿宋_GB2312"/>
          <w:sz w:val="28"/>
          <w:szCs w:val="28"/>
        </w:rPr>
      </w:pPr>
    </w:p>
    <w:p>
      <w:pPr>
        <w:spacing w:line="520" w:lineRule="exact"/>
        <w:jc w:val="center"/>
        <w:rPr>
          <w:rFonts w:ascii="仿宋_GB2312" w:hAnsi="仿宋" w:eastAsia="仿宋_GB2312"/>
          <w:sz w:val="28"/>
          <w:szCs w:val="28"/>
        </w:rPr>
      </w:pPr>
    </w:p>
    <w:p>
      <w:pPr>
        <w:spacing w:line="520" w:lineRule="exact"/>
        <w:jc w:val="center"/>
        <w:rPr>
          <w:rFonts w:ascii="仿宋_GB2312" w:hAnsi="仿宋" w:eastAsia="仿宋_GB2312"/>
          <w:sz w:val="28"/>
          <w:szCs w:val="28"/>
        </w:rPr>
      </w:pPr>
    </w:p>
    <w:p>
      <w:pPr>
        <w:jc w:val="center"/>
        <w:rPr>
          <w:sz w:val="56"/>
          <w:szCs w:val="80"/>
        </w:rPr>
      </w:pPr>
      <w:r>
        <w:rPr>
          <w:rFonts w:hint="eastAsia"/>
          <w:sz w:val="56"/>
          <w:szCs w:val="80"/>
        </w:rPr>
        <w:t>徽商银行股份有限公司</w:t>
      </w:r>
    </w:p>
    <w:p>
      <w:pPr>
        <w:spacing w:line="520" w:lineRule="exact"/>
        <w:jc w:val="center"/>
        <w:rPr>
          <w:sz w:val="56"/>
          <w:szCs w:val="80"/>
        </w:rPr>
      </w:pPr>
    </w:p>
    <w:p>
      <w:pPr>
        <w:jc w:val="center"/>
      </w:pPr>
    </w:p>
    <w:p>
      <w:pPr>
        <w:spacing w:line="520" w:lineRule="exact"/>
        <w:jc w:val="center"/>
        <w:rPr>
          <w:sz w:val="56"/>
          <w:szCs w:val="80"/>
        </w:rPr>
      </w:pPr>
      <w:r>
        <w:rPr>
          <w:rFonts w:hint="eastAsia"/>
          <w:sz w:val="56"/>
          <w:szCs w:val="80"/>
        </w:rPr>
        <w:t>与</w:t>
      </w:r>
    </w:p>
    <w:p>
      <w:pPr>
        <w:spacing w:line="520" w:lineRule="exact"/>
        <w:jc w:val="center"/>
        <w:rPr>
          <w:sz w:val="56"/>
          <w:szCs w:val="80"/>
        </w:rPr>
      </w:pPr>
    </w:p>
    <w:p>
      <w:pPr>
        <w:jc w:val="center"/>
      </w:pPr>
    </w:p>
    <w:p>
      <w:pPr>
        <w:jc w:val="center"/>
        <w:rPr>
          <w:sz w:val="56"/>
          <w:szCs w:val="80"/>
        </w:rPr>
      </w:pPr>
      <w:r>
        <w:rPr>
          <w:rFonts w:hint="eastAsia"/>
          <w:sz w:val="56"/>
          <w:szCs w:val="80"/>
        </w:rPr>
        <w:t>信银理财有限责任公司</w:t>
      </w:r>
    </w:p>
    <w:p>
      <w:pPr>
        <w:jc w:val="center"/>
        <w:rPr>
          <w:sz w:val="56"/>
          <w:szCs w:val="80"/>
        </w:rPr>
      </w:pPr>
    </w:p>
    <w:p>
      <w:pPr>
        <w:jc w:val="center"/>
        <w:rPr>
          <w:sz w:val="56"/>
          <w:szCs w:val="80"/>
        </w:rPr>
      </w:pPr>
      <w:r>
        <w:rPr>
          <w:rFonts w:hint="eastAsia"/>
          <w:sz w:val="56"/>
          <w:szCs w:val="80"/>
        </w:rPr>
        <w:t>理财</w:t>
      </w:r>
      <w:r>
        <w:rPr>
          <w:sz w:val="56"/>
          <w:szCs w:val="80"/>
        </w:rPr>
        <w:t>产品</w:t>
      </w:r>
      <w:r>
        <w:rPr>
          <w:rFonts w:hint="eastAsia"/>
          <w:sz w:val="56"/>
          <w:szCs w:val="80"/>
        </w:rPr>
        <w:t>托管协议</w:t>
      </w:r>
    </w:p>
    <w:p>
      <w:pPr>
        <w:pStyle w:val="18"/>
        <w:spacing w:line="520" w:lineRule="exact"/>
        <w:ind w:firstLine="2240"/>
        <w:rPr>
          <w:rFonts w:ascii="Times New Roman" w:hAnsi="Times New Roman" w:eastAsia="宋体" w:cs="Times New Roman"/>
          <w:sz w:val="40"/>
          <w:szCs w:val="48"/>
        </w:rPr>
      </w:pPr>
      <w:r>
        <w:rPr>
          <w:rFonts w:hint="eastAsia" w:ascii="Times New Roman" w:hAnsi="Times New Roman" w:eastAsia="宋体" w:cs="Times New Roman"/>
          <w:sz w:val="32"/>
          <w:szCs w:val="40"/>
        </w:rPr>
        <w:t>（</w:t>
      </w:r>
      <w:r>
        <w:rPr>
          <w:rFonts w:ascii="Times New Roman" w:hAnsi="Times New Roman" w:eastAsia="宋体" w:cs="Times New Roman"/>
          <w:sz w:val="32"/>
          <w:szCs w:val="40"/>
        </w:rPr>
        <w:t>2.0版</w:t>
      </w:r>
      <w:r>
        <w:rPr>
          <w:rFonts w:hint="eastAsia" w:ascii="Times New Roman" w:hAnsi="Times New Roman" w:eastAsia="宋体" w:cs="Times New Roman"/>
          <w:sz w:val="32"/>
          <w:szCs w:val="40"/>
        </w:rPr>
        <w:t>，</w:t>
      </w:r>
      <w:r>
        <w:rPr>
          <w:rFonts w:ascii="Times New Roman" w:hAnsi="Times New Roman" w:eastAsia="宋体" w:cs="Times New Roman"/>
          <w:sz w:val="32"/>
          <w:szCs w:val="40"/>
        </w:rPr>
        <w:t>2024</w:t>
      </w:r>
      <w:r>
        <w:rPr>
          <w:rFonts w:hint="eastAsia" w:ascii="Times New Roman" w:hAnsi="Times New Roman" w:eastAsia="宋体" w:cs="Times New Roman"/>
          <w:sz w:val="32"/>
          <w:szCs w:val="40"/>
        </w:rPr>
        <w:t>年）</w:t>
      </w:r>
    </w:p>
    <w:p>
      <w:pPr>
        <w:jc w:val="center"/>
      </w:pPr>
    </w:p>
    <w:p>
      <w:pPr>
        <w:jc w:val="center"/>
      </w:pPr>
    </w:p>
    <w:p>
      <w:pPr>
        <w:pStyle w:val="18"/>
        <w:spacing w:line="520" w:lineRule="exact"/>
        <w:ind w:firstLine="2240"/>
        <w:rPr>
          <w:rFonts w:ascii="Times New Roman" w:hAnsi="Times New Roman" w:eastAsia="宋体" w:cs="Times New Roman"/>
          <w:sz w:val="32"/>
          <w:szCs w:val="40"/>
        </w:rPr>
      </w:pPr>
      <w:r>
        <w:rPr>
          <w:rFonts w:hint="eastAsia" w:ascii="Times New Roman" w:hAnsi="Times New Roman" w:eastAsia="宋体" w:cs="Times New Roman"/>
          <w:sz w:val="32"/>
          <w:szCs w:val="40"/>
        </w:rPr>
        <w:t>编号：</w:t>
      </w:r>
    </w:p>
    <w:p>
      <w:pPr>
        <w:widowControl/>
        <w:jc w:val="left"/>
        <w:rPr>
          <w:rFonts w:ascii="仿宋_GB2312" w:hAnsi="仿宋" w:eastAsia="仿宋_GB2312"/>
          <w:b/>
          <w:sz w:val="28"/>
          <w:szCs w:val="28"/>
        </w:rPr>
      </w:pPr>
      <w:r>
        <w:rPr>
          <w:rFonts w:ascii="仿宋_GB2312" w:hAnsi="仿宋" w:eastAsia="仿宋_GB2312"/>
          <w:b/>
          <w:sz w:val="28"/>
          <w:szCs w:val="28"/>
        </w:rPr>
        <w:br w:type="page"/>
      </w:r>
    </w:p>
    <w:p>
      <w:pPr>
        <w:tabs>
          <w:tab w:val="left" w:pos="5940"/>
        </w:tabs>
        <w:spacing w:line="360" w:lineRule="auto"/>
        <w:rPr>
          <w:rFonts w:ascii="仿宋_GB2312" w:hAnsi="仿宋" w:eastAsia="仿宋_GB2312"/>
          <w:b/>
          <w:sz w:val="28"/>
          <w:szCs w:val="28"/>
        </w:rPr>
      </w:pPr>
    </w:p>
    <w:p>
      <w:pPr>
        <w:tabs>
          <w:tab w:val="left" w:pos="5940"/>
        </w:tabs>
        <w:spacing w:line="360" w:lineRule="auto"/>
        <w:rPr>
          <w:rFonts w:ascii="仿宋_GB2312" w:hAnsi="仿宋" w:eastAsia="仿宋_GB2312"/>
          <w:b/>
          <w:sz w:val="28"/>
          <w:szCs w:val="28"/>
        </w:rPr>
      </w:pPr>
      <w:r>
        <w:rPr>
          <w:rFonts w:hint="eastAsia" w:ascii="仿宋_GB2312" w:hAnsi="仿宋" w:eastAsia="仿宋_GB2312"/>
          <w:b/>
          <w:sz w:val="28"/>
          <w:szCs w:val="28"/>
        </w:rPr>
        <w:t>管理人：信银理财有限责任公司（</w:t>
      </w:r>
      <w:r>
        <w:rPr>
          <w:rFonts w:ascii="仿宋_GB2312" w:hAnsi="仿宋" w:eastAsia="仿宋_GB2312"/>
          <w:b/>
          <w:sz w:val="28"/>
          <w:szCs w:val="28"/>
        </w:rPr>
        <w:t>甲方）</w:t>
      </w:r>
    </w:p>
    <w:p>
      <w:pPr>
        <w:spacing w:line="360" w:lineRule="auto"/>
        <w:rPr>
          <w:rFonts w:ascii="仿宋_GB2312" w:hAnsi="仿宋" w:eastAsia="仿宋_GB2312"/>
          <w:sz w:val="28"/>
          <w:szCs w:val="28"/>
        </w:rPr>
      </w:pPr>
      <w:r>
        <w:rPr>
          <w:rFonts w:hint="eastAsia" w:ascii="仿宋_GB2312" w:hAnsi="仿宋" w:eastAsia="仿宋_GB2312"/>
          <w:sz w:val="28"/>
          <w:szCs w:val="28"/>
        </w:rPr>
        <w:t>住所：上海</w:t>
      </w:r>
      <w:r>
        <w:rPr>
          <w:rFonts w:ascii="微软雅黑" w:hAnsi="微软雅黑" w:eastAsia="仿宋_GB2312" w:cs="微软雅黑"/>
          <w:sz w:val="28"/>
          <w:szCs w:val="28"/>
        </w:rPr>
        <w:t>市</w:t>
      </w:r>
      <w:r>
        <w:rPr>
          <w:rFonts w:hint="eastAsia" w:ascii="仿宋_GB2312" w:hAnsi="仿宋_GB2312" w:eastAsia="仿宋_GB2312" w:cs="仿宋_GB2312"/>
          <w:sz w:val="28"/>
          <w:szCs w:val="28"/>
        </w:rPr>
        <w:t>黄浦区中山东二路</w:t>
      </w:r>
      <w:r>
        <w:rPr>
          <w:rFonts w:ascii="仿宋_GB2312" w:hAnsi="仿宋" w:eastAsia="仿宋_GB2312"/>
          <w:sz w:val="28"/>
          <w:szCs w:val="28"/>
        </w:rPr>
        <w:t>600</w:t>
      </w:r>
      <w:r>
        <w:rPr>
          <w:rFonts w:hint="eastAsia" w:ascii="仿宋_GB2312" w:hAnsi="仿宋" w:eastAsia="仿宋_GB2312"/>
          <w:sz w:val="28"/>
          <w:szCs w:val="28"/>
        </w:rPr>
        <w:t>号</w:t>
      </w:r>
      <w:r>
        <w:rPr>
          <w:rFonts w:ascii="仿宋_GB2312" w:hAnsi="仿宋" w:eastAsia="仿宋_GB2312"/>
          <w:sz w:val="28"/>
          <w:szCs w:val="28"/>
        </w:rPr>
        <w:t>1</w:t>
      </w:r>
      <w:r>
        <w:rPr>
          <w:rFonts w:hint="eastAsia" w:ascii="仿宋_GB2312" w:hAnsi="仿宋" w:eastAsia="仿宋_GB2312"/>
          <w:sz w:val="28"/>
          <w:szCs w:val="28"/>
        </w:rPr>
        <w:t>幢</w:t>
      </w:r>
      <w:r>
        <w:rPr>
          <w:rFonts w:ascii="仿宋_GB2312" w:hAnsi="仿宋" w:eastAsia="仿宋_GB2312"/>
          <w:sz w:val="28"/>
          <w:szCs w:val="28"/>
        </w:rPr>
        <w:t>35</w:t>
      </w:r>
      <w:r>
        <w:rPr>
          <w:rFonts w:hint="eastAsia" w:ascii="仿宋_GB2312" w:hAnsi="仿宋" w:eastAsia="仿宋_GB2312"/>
          <w:sz w:val="28"/>
          <w:szCs w:val="28"/>
        </w:rPr>
        <w:t>层、</w:t>
      </w:r>
      <w:r>
        <w:rPr>
          <w:rFonts w:ascii="仿宋_GB2312" w:hAnsi="仿宋" w:eastAsia="仿宋_GB2312"/>
          <w:sz w:val="28"/>
          <w:szCs w:val="28"/>
        </w:rPr>
        <w:t>36</w:t>
      </w:r>
      <w:r>
        <w:rPr>
          <w:rFonts w:hint="eastAsia" w:ascii="仿宋_GB2312" w:hAnsi="仿宋" w:eastAsia="仿宋_GB2312"/>
          <w:sz w:val="28"/>
          <w:szCs w:val="28"/>
        </w:rPr>
        <w:t>层</w:t>
      </w:r>
    </w:p>
    <w:p>
      <w:pPr>
        <w:spacing w:line="360" w:lineRule="auto"/>
        <w:rPr>
          <w:rFonts w:ascii="仿宋_GB2312" w:hAnsi="仿宋" w:eastAsia="仿宋_GB2312"/>
          <w:sz w:val="28"/>
          <w:szCs w:val="28"/>
        </w:rPr>
      </w:pPr>
      <w:r>
        <w:rPr>
          <w:rFonts w:hint="eastAsia" w:ascii="仿宋_GB2312" w:hAnsi="仿宋" w:eastAsia="仿宋_GB2312"/>
          <w:sz w:val="28"/>
          <w:szCs w:val="28"/>
        </w:rPr>
        <w:t>邮政编码：</w:t>
      </w:r>
      <w:r>
        <w:rPr>
          <w:rFonts w:ascii="仿宋_GB2312" w:hAnsi="仿宋" w:eastAsia="仿宋_GB2312"/>
          <w:sz w:val="28"/>
          <w:szCs w:val="28"/>
        </w:rPr>
        <w:t>200002</w:t>
      </w:r>
    </w:p>
    <w:p>
      <w:pPr>
        <w:spacing w:line="360" w:lineRule="auto"/>
        <w:rPr>
          <w:rFonts w:ascii="仿宋_GB2312" w:hAnsi="仿宋" w:eastAsia="仿宋_GB2312"/>
          <w:sz w:val="28"/>
          <w:szCs w:val="28"/>
        </w:rPr>
      </w:pPr>
      <w:r>
        <w:rPr>
          <w:rFonts w:hint="eastAsia" w:ascii="仿宋_GB2312" w:hAnsi="仿宋" w:eastAsia="仿宋_GB2312"/>
          <w:sz w:val="28"/>
          <w:szCs w:val="28"/>
        </w:rPr>
        <w:t>法定代表人：</w:t>
      </w:r>
      <w:r>
        <w:rPr>
          <w:rFonts w:hint="eastAsia" w:ascii="仿宋_GB2312" w:hAnsi="仿宋" w:eastAsia="仿宋_GB2312"/>
          <w:sz w:val="28"/>
          <w:szCs w:val="28"/>
          <w:lang w:val="en-US" w:eastAsia="zh-CN"/>
        </w:rPr>
        <w:t>王洪栋</w:t>
      </w:r>
      <w:r>
        <w:rPr>
          <w:rFonts w:ascii="仿宋_GB2312" w:hAnsi="仿宋" w:eastAsia="仿宋_GB2312"/>
          <w:sz w:val="28"/>
          <w:szCs w:val="28"/>
        </w:rPr>
        <w:t xml:space="preserve"> </w:t>
      </w:r>
    </w:p>
    <w:p>
      <w:pPr>
        <w:spacing w:line="360" w:lineRule="auto"/>
        <w:rPr>
          <w:rFonts w:hint="eastAsia" w:ascii="仿宋_GB2312" w:hAnsi="仿宋" w:eastAsia="仿宋_GB2312"/>
          <w:sz w:val="28"/>
          <w:szCs w:val="28"/>
          <w:lang w:eastAsia="zh-CN"/>
        </w:rPr>
      </w:pPr>
      <w:r>
        <w:rPr>
          <w:rFonts w:hint="eastAsia" w:ascii="仿宋_GB2312" w:hAnsi="仿宋" w:eastAsia="仿宋_GB2312"/>
          <w:sz w:val="28"/>
          <w:szCs w:val="28"/>
        </w:rPr>
        <w:t>营运联系人：</w:t>
      </w:r>
      <w:r>
        <w:rPr>
          <w:rFonts w:hint="eastAsia" w:ascii="仿宋_GB2312" w:hAnsi="仿宋" w:eastAsia="仿宋_GB2312"/>
          <w:sz w:val="28"/>
          <w:szCs w:val="28"/>
          <w:lang w:val="en-US" w:eastAsia="zh-CN"/>
        </w:rPr>
        <w:t>谢聪</w:t>
      </w:r>
    </w:p>
    <w:p>
      <w:pPr>
        <w:tabs>
          <w:tab w:val="left" w:pos="5940"/>
        </w:tabs>
        <w:spacing w:line="360" w:lineRule="auto"/>
        <w:rPr>
          <w:rFonts w:ascii="仿宋_GB2312" w:hAnsi="仿宋" w:eastAsia="仿宋_GB2312"/>
          <w:b/>
          <w:sz w:val="28"/>
          <w:szCs w:val="28"/>
        </w:rPr>
      </w:pPr>
      <w:r>
        <w:rPr>
          <w:rFonts w:hint="eastAsia" w:ascii="仿宋_GB2312" w:hAnsi="仿宋" w:eastAsia="仿宋_GB2312"/>
          <w:sz w:val="28"/>
          <w:szCs w:val="28"/>
        </w:rPr>
        <w:t>联系电话：</w:t>
      </w:r>
      <w:r>
        <w:rPr>
          <w:rFonts w:hint="eastAsia" w:ascii="仿宋_GB2312" w:hAnsi="仿宋" w:eastAsia="仿宋_GB2312"/>
          <w:sz w:val="28"/>
          <w:szCs w:val="28"/>
          <w:lang w:val="en-US" w:eastAsia="zh-CN"/>
        </w:rPr>
        <w:t>021-20287777</w:t>
      </w:r>
    </w:p>
    <w:p>
      <w:pPr>
        <w:spacing w:line="360" w:lineRule="auto"/>
        <w:rPr>
          <w:rFonts w:ascii="仿宋_GB2312" w:hAnsi="仿宋" w:eastAsia="仿宋_GB2312"/>
          <w:sz w:val="28"/>
          <w:szCs w:val="28"/>
        </w:rPr>
      </w:pPr>
    </w:p>
    <w:p>
      <w:pPr>
        <w:tabs>
          <w:tab w:val="left" w:pos="5940"/>
        </w:tabs>
        <w:spacing w:line="360" w:lineRule="auto"/>
        <w:rPr>
          <w:rFonts w:ascii="仿宋_GB2312" w:hAnsi="仿宋" w:eastAsia="仿宋_GB2312"/>
          <w:b/>
          <w:sz w:val="28"/>
          <w:szCs w:val="28"/>
        </w:rPr>
      </w:pPr>
      <w:r>
        <w:rPr>
          <w:rFonts w:hint="eastAsia" w:ascii="仿宋_GB2312" w:hAnsi="仿宋" w:eastAsia="仿宋_GB2312"/>
          <w:b/>
          <w:sz w:val="28"/>
          <w:szCs w:val="28"/>
        </w:rPr>
        <w:t>托管人：徽商</w:t>
      </w:r>
      <w:r>
        <w:rPr>
          <w:rFonts w:ascii="仿宋_GB2312" w:hAnsi="仿宋" w:eastAsia="仿宋_GB2312"/>
          <w:b/>
          <w:sz w:val="28"/>
          <w:szCs w:val="28"/>
        </w:rPr>
        <w:t>银行股份有限公司</w:t>
      </w:r>
      <w:r>
        <w:rPr>
          <w:rFonts w:hint="eastAsia" w:ascii="仿宋_GB2312" w:hAnsi="仿宋" w:eastAsia="仿宋_GB2312"/>
          <w:b/>
          <w:sz w:val="28"/>
          <w:szCs w:val="28"/>
        </w:rPr>
        <w:t>（乙方）</w:t>
      </w:r>
      <w:r>
        <w:rPr>
          <w:rFonts w:ascii="仿宋_GB2312" w:hAnsi="仿宋" w:eastAsia="仿宋_GB2312"/>
          <w:b/>
          <w:sz w:val="28"/>
          <w:szCs w:val="28"/>
        </w:rPr>
        <w:t xml:space="preserve"> </w:t>
      </w:r>
    </w:p>
    <w:p>
      <w:pPr>
        <w:spacing w:line="360" w:lineRule="auto"/>
        <w:rPr>
          <w:rFonts w:hint="default" w:ascii="仿宋_GB2312" w:hAnsi="仿宋" w:eastAsia="仿宋_GB2312"/>
          <w:sz w:val="28"/>
          <w:szCs w:val="28"/>
          <w:lang w:val="en-US" w:eastAsia="zh-CN"/>
        </w:rPr>
      </w:pPr>
      <w:r>
        <w:rPr>
          <w:rFonts w:hint="eastAsia" w:ascii="仿宋_GB2312" w:hAnsi="仿宋" w:eastAsia="仿宋_GB2312"/>
          <w:sz w:val="28"/>
          <w:szCs w:val="28"/>
        </w:rPr>
        <w:t>住所：</w:t>
      </w:r>
      <w:r>
        <w:rPr>
          <w:rFonts w:hint="eastAsia" w:ascii="仿宋_GB2312" w:hAnsi="仿宋" w:eastAsia="仿宋_GB2312"/>
          <w:sz w:val="28"/>
          <w:szCs w:val="28"/>
          <w:lang w:val="en-US" w:eastAsia="zh-CN"/>
        </w:rPr>
        <w:t>合肥市滨湖新区云谷路1699号</w:t>
      </w:r>
    </w:p>
    <w:p>
      <w:pPr>
        <w:spacing w:line="360" w:lineRule="auto"/>
        <w:rPr>
          <w:rFonts w:hint="default" w:ascii="仿宋_GB2312" w:hAnsi="仿宋" w:eastAsia="仿宋_GB2312"/>
          <w:sz w:val="28"/>
          <w:szCs w:val="28"/>
          <w:lang w:val="en-US" w:eastAsia="zh-CN"/>
        </w:rPr>
      </w:pPr>
      <w:r>
        <w:rPr>
          <w:rFonts w:hint="eastAsia" w:ascii="仿宋_GB2312" w:hAnsi="仿宋" w:eastAsia="仿宋_GB2312"/>
          <w:sz w:val="28"/>
          <w:szCs w:val="28"/>
        </w:rPr>
        <w:t>邮政编码</w:t>
      </w:r>
      <w:r>
        <w:rPr>
          <w:rFonts w:ascii="仿宋_GB2312" w:hAnsi="仿宋" w:eastAsia="仿宋_GB2312"/>
          <w:sz w:val="28"/>
          <w:szCs w:val="28"/>
        </w:rPr>
        <w:t>:</w:t>
      </w:r>
      <w:r>
        <w:rPr>
          <w:rFonts w:hint="eastAsia" w:ascii="仿宋_GB2312" w:hAnsi="仿宋" w:eastAsia="仿宋_GB2312"/>
          <w:sz w:val="28"/>
          <w:szCs w:val="28"/>
        </w:rPr>
        <w:t xml:space="preserve"> </w:t>
      </w:r>
      <w:r>
        <w:rPr>
          <w:rFonts w:hint="eastAsia" w:ascii="仿宋_GB2312" w:hAnsi="仿宋" w:eastAsia="仿宋_GB2312"/>
          <w:sz w:val="28"/>
          <w:szCs w:val="28"/>
          <w:lang w:val="en-US" w:eastAsia="zh-CN"/>
        </w:rPr>
        <w:t>230092</w:t>
      </w:r>
    </w:p>
    <w:p>
      <w:pPr>
        <w:spacing w:line="360" w:lineRule="auto"/>
        <w:rPr>
          <w:rFonts w:hint="eastAsia" w:ascii="仿宋_GB2312" w:hAnsi="仿宋" w:eastAsia="仿宋_GB2312"/>
          <w:sz w:val="28"/>
          <w:szCs w:val="28"/>
          <w:lang w:eastAsia="zh-CN"/>
        </w:rPr>
      </w:pPr>
      <w:r>
        <w:rPr>
          <w:rFonts w:hint="eastAsia" w:ascii="仿宋_GB2312" w:hAnsi="仿宋" w:eastAsia="仿宋_GB2312"/>
          <w:sz w:val="28"/>
          <w:szCs w:val="28"/>
        </w:rPr>
        <w:t>负责人：</w:t>
      </w:r>
      <w:bookmarkStart w:id="14" w:name="_GoBack"/>
      <w:bookmarkEnd w:id="14"/>
    </w:p>
    <w:p>
      <w:pPr>
        <w:spacing w:line="360" w:lineRule="auto"/>
        <w:rPr>
          <w:rFonts w:hint="eastAsia" w:eastAsia="仿宋"/>
          <w:lang w:eastAsia="zh-CN"/>
        </w:rPr>
      </w:pPr>
      <w:r>
        <w:rPr>
          <w:rFonts w:hint="eastAsia" w:ascii="仿宋" w:hAnsi="仿宋" w:eastAsia="仿宋"/>
          <w:sz w:val="28"/>
          <w:szCs w:val="28"/>
        </w:rPr>
        <w:t>授权代理人：</w:t>
      </w:r>
      <w:r>
        <w:rPr>
          <w:rFonts w:hint="eastAsia" w:ascii="仿宋" w:hAnsi="仿宋" w:eastAsia="仿宋"/>
          <w:sz w:val="28"/>
          <w:szCs w:val="28"/>
          <w:lang w:val="en-US" w:eastAsia="zh-CN"/>
        </w:rPr>
        <w:t>裴娟</w:t>
      </w:r>
    </w:p>
    <w:p>
      <w:pPr>
        <w:spacing w:line="360" w:lineRule="auto"/>
        <w:rPr>
          <w:rFonts w:hint="eastAsia" w:ascii="仿宋" w:hAnsi="仿宋" w:eastAsia="仿宋"/>
          <w:sz w:val="28"/>
          <w:szCs w:val="28"/>
          <w:lang w:val="en-US" w:eastAsia="zh-CN"/>
        </w:rPr>
      </w:pPr>
      <w:r>
        <w:rPr>
          <w:rFonts w:hint="eastAsia" w:ascii="仿宋" w:hAnsi="仿宋" w:eastAsia="仿宋"/>
          <w:sz w:val="28"/>
          <w:szCs w:val="28"/>
        </w:rPr>
        <w:t>营运联系人：</w:t>
      </w:r>
      <w:r>
        <w:rPr>
          <w:rFonts w:hint="eastAsia" w:ascii="仿宋" w:hAnsi="仿宋" w:eastAsia="仿宋"/>
          <w:sz w:val="28"/>
          <w:szCs w:val="28"/>
          <w:lang w:val="en-US" w:eastAsia="zh-CN"/>
        </w:rPr>
        <w:t>张轶达</w:t>
      </w:r>
    </w:p>
    <w:p>
      <w:pPr>
        <w:spacing w:line="360" w:lineRule="auto"/>
        <w:rPr>
          <w:rFonts w:hint="default" w:ascii="仿宋" w:hAnsi="仿宋" w:eastAsia="仿宋_GB2312"/>
          <w:sz w:val="28"/>
          <w:szCs w:val="28"/>
          <w:lang w:val="en-US" w:eastAsia="zh-CN"/>
        </w:rPr>
      </w:pPr>
      <w:r>
        <w:rPr>
          <w:rFonts w:hint="eastAsia" w:ascii="仿宋" w:hAnsi="仿宋" w:eastAsia="仿宋"/>
          <w:sz w:val="28"/>
          <w:szCs w:val="28"/>
        </w:rPr>
        <w:t>联系电话：</w:t>
      </w:r>
      <w:r>
        <w:rPr>
          <w:rFonts w:hint="eastAsia" w:ascii="仿宋_GB2312" w:hAnsi="仿宋" w:eastAsia="仿宋_GB2312"/>
          <w:sz w:val="28"/>
          <w:szCs w:val="28"/>
          <w:lang w:val="en-US" w:eastAsia="zh-CN"/>
        </w:rPr>
        <w:t>0551-62667851</w:t>
      </w:r>
    </w:p>
    <w:p>
      <w:pPr>
        <w:tabs>
          <w:tab w:val="left" w:pos="5940"/>
        </w:tabs>
        <w:spacing w:line="360" w:lineRule="auto"/>
        <w:rPr>
          <w:rFonts w:ascii="仿宋_GB2312" w:hAnsi="仿宋" w:eastAsia="仿宋_GB2312"/>
          <w:b/>
          <w:sz w:val="28"/>
          <w:szCs w:val="28"/>
        </w:rPr>
      </w:pPr>
    </w:p>
    <w:p>
      <w:pPr>
        <w:spacing w:line="520" w:lineRule="exact"/>
        <w:ind w:firstLine="562"/>
        <w:rPr>
          <w:rFonts w:ascii="仿宋_GB2312" w:hAnsi="仿宋" w:eastAsia="仿宋_GB2312"/>
          <w:b/>
          <w:sz w:val="28"/>
          <w:szCs w:val="28"/>
        </w:rPr>
      </w:pPr>
      <w:r>
        <w:rPr>
          <w:rFonts w:hint="eastAsia" w:ascii="仿宋_GB2312" w:hAnsi="仿宋" w:eastAsia="仿宋_GB2312"/>
          <w:b/>
          <w:sz w:val="28"/>
          <w:szCs w:val="28"/>
        </w:rPr>
        <w:t>鉴于：</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1</w:t>
      </w:r>
      <w:r>
        <w:rPr>
          <w:rFonts w:hint="eastAsia" w:ascii="仿宋_GB2312" w:hAnsi="仿宋" w:eastAsia="仿宋_GB2312"/>
          <w:sz w:val="28"/>
          <w:szCs w:val="28"/>
        </w:rPr>
        <w:t>．信银理财有限责任公司（甲方）系一家获国家金融监督管理总局批准成立并有效存续的商业银行理财子公司，按照有关规定具备办理理财业务及进行管理的资格和能力；</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2.</w:t>
      </w:r>
      <w:r>
        <w:rPr>
          <w:rFonts w:hint="eastAsia" w:ascii="仿宋_GB2312" w:hAnsi="仿宋" w:eastAsia="仿宋_GB2312"/>
          <w:sz w:val="28"/>
          <w:szCs w:val="28"/>
        </w:rPr>
        <w:t>徽商</w:t>
      </w:r>
      <w:r>
        <w:rPr>
          <w:rFonts w:ascii="仿宋_GB2312" w:hAnsi="仿宋" w:eastAsia="仿宋_GB2312"/>
          <w:sz w:val="28"/>
          <w:szCs w:val="28"/>
        </w:rPr>
        <w:t>银行股份有限公司</w:t>
      </w:r>
      <w:r>
        <w:rPr>
          <w:rFonts w:hint="eastAsia" w:ascii="仿宋_GB2312" w:hAnsi="仿宋" w:eastAsia="仿宋_GB2312"/>
          <w:sz w:val="28"/>
          <w:szCs w:val="28"/>
        </w:rPr>
        <w:t>（</w:t>
      </w:r>
      <w:r>
        <w:rPr>
          <w:rFonts w:ascii="仿宋_GB2312" w:hAnsi="仿宋" w:eastAsia="仿宋_GB2312"/>
          <w:sz w:val="28"/>
          <w:szCs w:val="28"/>
        </w:rPr>
        <w:t>乙方）</w:t>
      </w:r>
      <w:r>
        <w:rPr>
          <w:rFonts w:hint="eastAsia" w:ascii="仿宋_GB2312" w:hAnsi="仿宋" w:eastAsia="仿宋_GB2312"/>
          <w:sz w:val="28"/>
          <w:szCs w:val="28"/>
        </w:rPr>
        <w:t>系一家依照中国法律合法成立并有效存续的商业银行（分支机构），按照相关法律法规的规定具备开办证券投资基金托管业务及担任理财产品资金及所投资资产托管人的资格和能力；</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3.</w:t>
      </w:r>
      <w:r>
        <w:rPr>
          <w:rFonts w:hint="eastAsia" w:ascii="仿宋_GB2312" w:hAnsi="仿宋" w:eastAsia="仿宋_GB2312"/>
          <w:sz w:val="28"/>
          <w:szCs w:val="28"/>
        </w:rPr>
        <w:t>信银理财有限责任公司（甲方）担任理财</w:t>
      </w:r>
      <w:r>
        <w:rPr>
          <w:rFonts w:ascii="仿宋_GB2312" w:hAnsi="仿宋" w:eastAsia="仿宋_GB2312"/>
          <w:sz w:val="28"/>
          <w:szCs w:val="28"/>
        </w:rPr>
        <w:t>产品的</w:t>
      </w:r>
      <w:r>
        <w:rPr>
          <w:rFonts w:hint="eastAsia" w:ascii="仿宋_GB2312" w:hAnsi="仿宋" w:eastAsia="仿宋_GB2312"/>
          <w:sz w:val="28"/>
          <w:szCs w:val="28"/>
        </w:rPr>
        <w:t>管理人</w:t>
      </w:r>
      <w:r>
        <w:rPr>
          <w:rFonts w:ascii="仿宋_GB2312" w:hAnsi="仿宋" w:eastAsia="仿宋_GB2312"/>
          <w:sz w:val="28"/>
          <w:szCs w:val="28"/>
        </w:rPr>
        <w:t>;</w:t>
      </w:r>
      <w:r>
        <w:rPr>
          <w:rFonts w:hint="eastAsia" w:ascii="仿宋_GB2312" w:hAnsi="仿宋" w:eastAsia="仿宋_GB2312"/>
          <w:sz w:val="28"/>
          <w:szCs w:val="28"/>
        </w:rPr>
        <w:t>徽商</w:t>
      </w:r>
      <w:r>
        <w:rPr>
          <w:rFonts w:ascii="仿宋_GB2312" w:hAnsi="仿宋" w:eastAsia="仿宋_GB2312"/>
          <w:sz w:val="28"/>
          <w:szCs w:val="28"/>
        </w:rPr>
        <w:t>银行股份有限公司（</w:t>
      </w:r>
      <w:r>
        <w:rPr>
          <w:rFonts w:hint="eastAsia" w:ascii="仿宋_GB2312" w:hAnsi="仿宋" w:eastAsia="仿宋_GB2312"/>
          <w:sz w:val="28"/>
          <w:szCs w:val="28"/>
        </w:rPr>
        <w:t>乙方</w:t>
      </w:r>
      <w:r>
        <w:rPr>
          <w:rFonts w:ascii="仿宋_GB2312" w:hAnsi="仿宋" w:eastAsia="仿宋_GB2312"/>
          <w:sz w:val="28"/>
          <w:szCs w:val="28"/>
        </w:rPr>
        <w:t>）</w:t>
      </w:r>
      <w:r>
        <w:rPr>
          <w:rFonts w:hint="eastAsia" w:ascii="仿宋_GB2312" w:hAnsi="仿宋" w:eastAsia="仿宋_GB2312"/>
          <w:sz w:val="28"/>
          <w:szCs w:val="28"/>
        </w:rPr>
        <w:t>担任理财产品的托管人；</w:t>
      </w:r>
    </w:p>
    <w:p>
      <w:pPr>
        <w:pStyle w:val="18"/>
        <w:spacing w:before="0" w:after="0" w:line="520" w:lineRule="exact"/>
        <w:ind w:left="0" w:firstLine="560"/>
        <w:rPr>
          <w:rFonts w:ascii="仿宋_GB2312" w:hAnsi="仿宋" w:eastAsia="仿宋_GB2312"/>
          <w:sz w:val="28"/>
          <w:szCs w:val="28"/>
        </w:rPr>
      </w:pPr>
      <w:r>
        <w:rPr>
          <w:rFonts w:hint="eastAsia" w:ascii="仿宋_GB2312" w:hAnsi="仿宋" w:eastAsia="仿宋_GB2312"/>
          <w:sz w:val="28"/>
          <w:szCs w:val="28"/>
        </w:rPr>
        <w:t>为明确各方在理财产品托管中的权利、义务及责任，确保理财产品的安全，保护投资者的合法权益，依据《中华人民共和国民法典》、《商业</w:t>
      </w:r>
      <w:r>
        <w:rPr>
          <w:rFonts w:ascii="仿宋_GB2312" w:hAnsi="仿宋" w:eastAsia="仿宋_GB2312"/>
          <w:sz w:val="28"/>
          <w:szCs w:val="28"/>
        </w:rPr>
        <w:t>银行</w:t>
      </w:r>
      <w:r>
        <w:rPr>
          <w:rFonts w:hint="eastAsia" w:ascii="仿宋_GB2312" w:hAnsi="仿宋" w:eastAsia="仿宋_GB2312"/>
          <w:sz w:val="28"/>
          <w:szCs w:val="28"/>
        </w:rPr>
        <w:t>理财</w:t>
      </w:r>
      <w:r>
        <w:rPr>
          <w:rFonts w:ascii="仿宋_GB2312" w:hAnsi="仿宋" w:eastAsia="仿宋_GB2312"/>
          <w:sz w:val="28"/>
          <w:szCs w:val="28"/>
        </w:rPr>
        <w:t>业务监督管理办法》</w:t>
      </w:r>
      <w:r>
        <w:rPr>
          <w:rFonts w:hint="eastAsia" w:ascii="仿宋_GB2312" w:hAnsi="仿宋" w:eastAsia="仿宋_GB2312"/>
          <w:sz w:val="28"/>
          <w:szCs w:val="28"/>
        </w:rPr>
        <w:t>、《商业银行理财子公司管理办法》、《商业</w:t>
      </w:r>
      <w:r>
        <w:rPr>
          <w:rFonts w:ascii="仿宋_GB2312" w:hAnsi="仿宋" w:eastAsia="仿宋_GB2312"/>
          <w:sz w:val="28"/>
          <w:szCs w:val="28"/>
        </w:rPr>
        <w:t>银行资产托管业务指引》</w:t>
      </w:r>
      <w:r>
        <w:rPr>
          <w:rFonts w:hint="eastAsia" w:ascii="仿宋_GB2312" w:hAnsi="仿宋" w:eastAsia="仿宋_GB2312"/>
          <w:sz w:val="28"/>
          <w:szCs w:val="28"/>
        </w:rPr>
        <w:t>等法律法规以及相关规定，特签订本协议。</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4.</w:t>
      </w:r>
      <w:r>
        <w:rPr>
          <w:rFonts w:hint="eastAsia" w:ascii="仿宋_GB2312" w:hAnsi="仿宋" w:eastAsia="仿宋_GB2312"/>
          <w:sz w:val="28"/>
          <w:szCs w:val="28"/>
        </w:rPr>
        <w:t>甲方应确保甲方理财产品在客户选择、报备手续等方面符合《关于规范金融机构资产管理业务的指导意见》等法律法规的规定，履行了相关的手续，保证产品的合法合规性。</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5.</w:t>
      </w:r>
      <w:r>
        <w:rPr>
          <w:rFonts w:hint="eastAsia" w:ascii="仿宋_GB2312" w:hAnsi="仿宋" w:eastAsia="仿宋_GB2312"/>
          <w:sz w:val="28"/>
          <w:szCs w:val="28"/>
        </w:rPr>
        <w:t>甲方应确保在管理理财产品的过程中，在投资方和信息披露方面符合《关于规范金融机构资产管理业务的指导意见》等法律法规的规定，不得投资相关法律法规禁止投资的产品。</w:t>
      </w:r>
    </w:p>
    <w:p>
      <w:pPr>
        <w:pStyle w:val="18"/>
        <w:spacing w:before="0" w:after="0" w:line="520" w:lineRule="exact"/>
        <w:ind w:left="0" w:firstLine="560"/>
        <w:rPr>
          <w:rFonts w:ascii="仿宋_GB2312" w:hAnsi="仿宋" w:eastAsia="仿宋_GB2312"/>
          <w:sz w:val="28"/>
          <w:szCs w:val="28"/>
        </w:rPr>
      </w:pPr>
    </w:p>
    <w:p>
      <w:pPr>
        <w:pStyle w:val="18"/>
        <w:spacing w:before="0" w:after="0" w:line="520" w:lineRule="exact"/>
        <w:ind w:left="0" w:firstLine="541"/>
        <w:rPr>
          <w:rFonts w:ascii="仿宋_GB2312" w:hAnsi="仿宋" w:eastAsia="仿宋_GB2312"/>
          <w:b/>
          <w:bCs/>
          <w:sz w:val="28"/>
          <w:szCs w:val="28"/>
        </w:rPr>
      </w:pPr>
      <w:r>
        <w:rPr>
          <w:rFonts w:hint="eastAsia" w:ascii="仿宋_GB2312" w:hAnsi="仿宋" w:eastAsia="仿宋_GB2312"/>
          <w:b/>
          <w:bCs/>
          <w:sz w:val="28"/>
          <w:szCs w:val="28"/>
        </w:rPr>
        <w:t>释义：</w:t>
      </w:r>
    </w:p>
    <w:p>
      <w:pPr>
        <w:pStyle w:val="18"/>
        <w:spacing w:before="0" w:after="0" w:line="520" w:lineRule="exact"/>
        <w:ind w:left="0" w:firstLine="560"/>
        <w:rPr>
          <w:rFonts w:ascii="仿宋_GB2312" w:hAnsi="仿宋" w:eastAsia="仿宋_GB2312"/>
          <w:sz w:val="28"/>
          <w:szCs w:val="28"/>
        </w:rPr>
      </w:pPr>
      <w:r>
        <w:rPr>
          <w:rFonts w:hint="eastAsia" w:ascii="仿宋_GB2312" w:hAnsi="仿宋" w:eastAsia="仿宋_GB2312"/>
          <w:sz w:val="28"/>
          <w:szCs w:val="28"/>
        </w:rPr>
        <w:t>除非各方另有约定，本协议适用于甲方委托乙方托管的所有理财产品，各方不再就甲方发行的单支理财产品委托乙方托管事宜另行签署托管协议，对于特殊产品涉及的不同于本协议的约定，将以补充协议的方式明确。在本协议中除非文义另有所指，下列词语具有以下含义：</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1</w:t>
      </w:r>
      <w:r>
        <w:rPr>
          <w:rFonts w:hint="eastAsia" w:ascii="仿宋_GB2312" w:hAnsi="仿宋" w:eastAsia="仿宋_GB2312"/>
          <w:sz w:val="28"/>
          <w:szCs w:val="28"/>
        </w:rPr>
        <w:t>、本理财产品</w:t>
      </w:r>
      <w:r>
        <w:rPr>
          <w:rFonts w:ascii="仿宋_GB2312" w:hAnsi="仿宋" w:eastAsia="仿宋_GB2312"/>
          <w:sz w:val="28"/>
          <w:szCs w:val="28"/>
        </w:rPr>
        <w:t>/</w:t>
      </w:r>
      <w:r>
        <w:rPr>
          <w:rFonts w:hint="eastAsia" w:ascii="仿宋_GB2312" w:hAnsi="仿宋" w:eastAsia="仿宋_GB2312"/>
          <w:sz w:val="28"/>
          <w:szCs w:val="28"/>
        </w:rPr>
        <w:t>理财产品：指信银理财有限责任公司发行</w:t>
      </w:r>
      <w:r>
        <w:rPr>
          <w:rFonts w:ascii="仿宋_GB2312" w:hAnsi="仿宋" w:eastAsia="仿宋_GB2312"/>
          <w:sz w:val="28"/>
          <w:szCs w:val="28"/>
        </w:rPr>
        <w:t>的</w:t>
      </w:r>
      <w:r>
        <w:rPr>
          <w:rFonts w:hint="eastAsia" w:ascii="仿宋_GB2312" w:hAnsi="仿宋" w:eastAsia="仿宋_GB2312"/>
          <w:sz w:val="28"/>
          <w:szCs w:val="28"/>
        </w:rPr>
        <w:t>并委托乙方托管的所有理财产品。</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2</w:t>
      </w:r>
      <w:r>
        <w:rPr>
          <w:rFonts w:hint="eastAsia" w:ascii="仿宋_GB2312" w:hAnsi="仿宋" w:eastAsia="仿宋_GB2312"/>
          <w:sz w:val="28"/>
          <w:szCs w:val="28"/>
        </w:rPr>
        <w:t>、投资者：与管理人签订理财产品文件且有义务交付认购资金，具有完全民事行为能力的自然人或法人。</w:t>
      </w:r>
      <w:r>
        <w:rPr>
          <w:rFonts w:ascii="仿宋_GB2312" w:hAnsi="仿宋" w:eastAsia="仿宋_GB2312"/>
          <w:sz w:val="28"/>
          <w:szCs w:val="28"/>
        </w:rPr>
        <w:t xml:space="preserve"> </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3</w:t>
      </w:r>
      <w:r>
        <w:rPr>
          <w:rFonts w:hint="eastAsia" w:ascii="仿宋_GB2312" w:hAnsi="仿宋" w:eastAsia="仿宋_GB2312"/>
          <w:sz w:val="28"/>
          <w:szCs w:val="28"/>
        </w:rPr>
        <w:t>、管理人：信银理财有限责任公司</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4</w:t>
      </w:r>
      <w:r>
        <w:rPr>
          <w:rFonts w:hint="eastAsia" w:ascii="仿宋_GB2312" w:hAnsi="仿宋" w:eastAsia="仿宋_GB2312"/>
          <w:sz w:val="28"/>
          <w:szCs w:val="28"/>
        </w:rPr>
        <w:t>、托管人</w:t>
      </w:r>
      <w:r>
        <w:rPr>
          <w:rFonts w:ascii="仿宋_GB2312" w:hAnsi="仿宋" w:eastAsia="仿宋_GB2312"/>
          <w:sz w:val="28"/>
          <w:szCs w:val="28"/>
        </w:rPr>
        <w:t>/</w:t>
      </w:r>
      <w:r>
        <w:rPr>
          <w:rFonts w:hint="eastAsia" w:ascii="仿宋_GB2312" w:hAnsi="仿宋" w:eastAsia="仿宋_GB2312"/>
          <w:sz w:val="28"/>
          <w:szCs w:val="28"/>
        </w:rPr>
        <w:t>托管银行：徽商</w:t>
      </w:r>
      <w:r>
        <w:rPr>
          <w:rFonts w:ascii="仿宋_GB2312" w:hAnsi="仿宋" w:eastAsia="仿宋_GB2312"/>
          <w:sz w:val="28"/>
          <w:szCs w:val="28"/>
        </w:rPr>
        <w:t>银行股份有限公司</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5</w:t>
      </w:r>
      <w:r>
        <w:rPr>
          <w:rFonts w:hint="eastAsia" w:ascii="仿宋_GB2312" w:hAnsi="仿宋" w:eastAsia="仿宋_GB2312"/>
          <w:sz w:val="28"/>
          <w:szCs w:val="28"/>
        </w:rPr>
        <w:t>、理财产品文件</w:t>
      </w:r>
      <w:r>
        <w:rPr>
          <w:rFonts w:ascii="仿宋_GB2312" w:hAnsi="仿宋" w:eastAsia="仿宋_GB2312"/>
          <w:sz w:val="28"/>
          <w:szCs w:val="28"/>
        </w:rPr>
        <w:t>/理财文件：指理财产品</w:t>
      </w:r>
      <w:r>
        <w:rPr>
          <w:rFonts w:hint="eastAsia" w:ascii="仿宋_GB2312" w:hAnsi="仿宋" w:eastAsia="仿宋_GB2312"/>
          <w:sz w:val="28"/>
          <w:szCs w:val="28"/>
        </w:rPr>
        <w:t>销售文件及与理财业务相关的文件及对其的任何修订和补充。</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6</w:t>
      </w:r>
      <w:r>
        <w:rPr>
          <w:rFonts w:hint="eastAsia" w:ascii="仿宋_GB2312" w:hAnsi="仿宋" w:eastAsia="仿宋_GB2312"/>
          <w:sz w:val="28"/>
          <w:szCs w:val="28"/>
        </w:rPr>
        <w:t>、理财产品托管专户或托管账户：指以甲方发行</w:t>
      </w:r>
      <w:r>
        <w:rPr>
          <w:rFonts w:ascii="仿宋_GB2312" w:hAnsi="仿宋" w:eastAsia="仿宋_GB2312"/>
          <w:sz w:val="28"/>
          <w:szCs w:val="28"/>
        </w:rPr>
        <w:t>的</w:t>
      </w:r>
      <w:r>
        <w:rPr>
          <w:rFonts w:hint="eastAsia" w:ascii="仿宋_GB2312" w:hAnsi="仿宋" w:eastAsia="仿宋_GB2312"/>
          <w:sz w:val="28"/>
          <w:szCs w:val="28"/>
        </w:rPr>
        <w:t>单只</w:t>
      </w:r>
      <w:r>
        <w:rPr>
          <w:rFonts w:ascii="仿宋_GB2312" w:hAnsi="仿宋" w:eastAsia="仿宋_GB2312"/>
          <w:sz w:val="28"/>
          <w:szCs w:val="28"/>
        </w:rPr>
        <w:t>理财产品</w:t>
      </w:r>
      <w:r>
        <w:rPr>
          <w:rFonts w:hint="eastAsia" w:ascii="仿宋_GB2312" w:hAnsi="仿宋" w:eastAsia="仿宋_GB2312"/>
          <w:sz w:val="28"/>
          <w:szCs w:val="28"/>
        </w:rPr>
        <w:t>名义在乙方为该只理财产品开立的专用银行账户，用于保管、管理和运用该只理财产品项下的所有理财资金。</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7</w:t>
      </w:r>
      <w:r>
        <w:rPr>
          <w:rFonts w:hint="eastAsia" w:ascii="仿宋_GB2312" w:hAnsi="仿宋" w:eastAsia="仿宋_GB2312"/>
          <w:sz w:val="28"/>
          <w:szCs w:val="28"/>
        </w:rPr>
        <w:t>、理财资金：指信银理财有限责任公司通过本理财产品募集的所有理财资金；单只理财产品募集的理财资金应进入其对应的理财产品托管专户。</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8</w:t>
      </w:r>
      <w:r>
        <w:rPr>
          <w:rFonts w:hint="eastAsia" w:ascii="仿宋_GB2312" w:hAnsi="仿宋" w:eastAsia="仿宋_GB2312"/>
          <w:sz w:val="28"/>
          <w:szCs w:val="28"/>
        </w:rPr>
        <w:t>、理财产品财产</w:t>
      </w:r>
      <w:r>
        <w:rPr>
          <w:rFonts w:ascii="仿宋_GB2312" w:hAnsi="仿宋" w:eastAsia="仿宋_GB2312"/>
          <w:sz w:val="28"/>
          <w:szCs w:val="28"/>
        </w:rPr>
        <w:t>/理财财产：指理财产品的理财资金以及运用理财资金所投资的资产，包括但不限于理财资金；投资管理形成的债券资产、</w:t>
      </w:r>
      <w:r>
        <w:rPr>
          <w:rFonts w:hint="eastAsia" w:ascii="仿宋_GB2312" w:hAnsi="仿宋" w:eastAsia="仿宋_GB2312"/>
          <w:sz w:val="28"/>
          <w:szCs w:val="28"/>
        </w:rPr>
        <w:t>权益类资产、信托财产等；银行存款及利息；投资收益；其他应计入理财产品资产的财产。</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9</w:t>
      </w:r>
      <w:r>
        <w:rPr>
          <w:rFonts w:hint="eastAsia" w:ascii="仿宋_GB2312" w:hAnsi="仿宋" w:eastAsia="仿宋_GB2312"/>
          <w:sz w:val="28"/>
          <w:szCs w:val="28"/>
        </w:rPr>
        <w:t>、理财产品财产净值：指理财产品存续期间理财产品财产扣除当期已发生但尚未支付的费用、管理人报酬、托管费用、相关税费等全部负债后的余额，或理财产品终止时理财产品财产扣除应付未付的费用、管理人报酬、托管费用、相关税费等全部负债后的余额。</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10</w:t>
      </w:r>
      <w:r>
        <w:rPr>
          <w:rFonts w:hint="eastAsia" w:ascii="仿宋_GB2312" w:hAnsi="仿宋" w:eastAsia="仿宋_GB2312"/>
          <w:sz w:val="28"/>
          <w:szCs w:val="28"/>
        </w:rPr>
        <w:t>、</w:t>
      </w:r>
      <w:r>
        <w:rPr>
          <w:rFonts w:ascii="仿宋_GB2312" w:hAnsi="仿宋" w:eastAsia="仿宋_GB2312"/>
          <w:sz w:val="28"/>
          <w:szCs w:val="28"/>
        </w:rPr>
        <w:t>资产账户：包括但不限于银行间债券账户</w:t>
      </w:r>
      <w:r>
        <w:rPr>
          <w:rFonts w:hint="eastAsia" w:ascii="仿宋_GB2312" w:hAnsi="仿宋" w:eastAsia="仿宋_GB2312"/>
          <w:sz w:val="28"/>
          <w:szCs w:val="28"/>
        </w:rPr>
        <w:t>、</w:t>
      </w:r>
      <w:r>
        <w:rPr>
          <w:rFonts w:ascii="仿宋_GB2312" w:hAnsi="仿宋" w:eastAsia="仿宋_GB2312"/>
          <w:sz w:val="28"/>
          <w:szCs w:val="28"/>
        </w:rPr>
        <w:t>交易所账户</w:t>
      </w:r>
      <w:r>
        <w:rPr>
          <w:rFonts w:hint="eastAsia" w:ascii="仿宋_GB2312" w:hAnsi="仿宋" w:eastAsia="仿宋_GB2312"/>
          <w:sz w:val="28"/>
          <w:szCs w:val="28"/>
        </w:rPr>
        <w:t>和</w:t>
      </w:r>
      <w:r>
        <w:rPr>
          <w:rFonts w:ascii="仿宋_GB2312" w:hAnsi="仿宋" w:eastAsia="仿宋_GB2312"/>
          <w:sz w:val="28"/>
          <w:szCs w:val="28"/>
        </w:rPr>
        <w:t>机构</w:t>
      </w:r>
      <w:r>
        <w:rPr>
          <w:rFonts w:hint="eastAsia" w:ascii="仿宋_GB2312" w:hAnsi="仿宋" w:eastAsia="仿宋_GB2312"/>
          <w:sz w:val="28"/>
          <w:szCs w:val="28"/>
        </w:rPr>
        <w:t>间</w:t>
      </w:r>
      <w:r>
        <w:rPr>
          <w:rFonts w:ascii="仿宋_GB2312" w:hAnsi="仿宋" w:eastAsia="仿宋_GB2312"/>
          <w:sz w:val="28"/>
          <w:szCs w:val="28"/>
        </w:rPr>
        <w:t>私募结算账户</w:t>
      </w:r>
      <w:r>
        <w:rPr>
          <w:rFonts w:hint="eastAsia" w:ascii="仿宋_GB2312" w:hAnsi="仿宋" w:eastAsia="仿宋_GB2312"/>
          <w:sz w:val="28"/>
          <w:szCs w:val="28"/>
        </w:rPr>
        <w:t>及</w:t>
      </w:r>
      <w:r>
        <w:rPr>
          <w:rFonts w:ascii="仿宋_GB2312" w:hAnsi="仿宋" w:eastAsia="仿宋_GB2312"/>
          <w:sz w:val="28"/>
          <w:szCs w:val="28"/>
        </w:rPr>
        <w:t>理财</w:t>
      </w:r>
      <w:r>
        <w:rPr>
          <w:rFonts w:hint="eastAsia" w:ascii="仿宋_GB2312" w:hAnsi="仿宋" w:eastAsia="仿宋_GB2312"/>
          <w:sz w:val="28"/>
          <w:szCs w:val="28"/>
        </w:rPr>
        <w:t>直融</w:t>
      </w:r>
      <w:r>
        <w:rPr>
          <w:rFonts w:ascii="仿宋_GB2312" w:hAnsi="仿宋" w:eastAsia="仿宋_GB2312"/>
          <w:sz w:val="28"/>
          <w:szCs w:val="28"/>
        </w:rPr>
        <w:t>工具账户等。</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11</w:t>
      </w:r>
      <w:r>
        <w:rPr>
          <w:rFonts w:hint="eastAsia" w:ascii="仿宋_GB2312" w:hAnsi="仿宋" w:eastAsia="仿宋_GB2312"/>
          <w:sz w:val="28"/>
          <w:szCs w:val="28"/>
        </w:rPr>
        <w:t>、资金账户：包括但不限于理财产品托管专户、</w:t>
      </w:r>
      <w:r>
        <w:rPr>
          <w:rFonts w:ascii="仿宋_GB2312" w:hAnsi="仿宋" w:eastAsia="仿宋_GB2312"/>
          <w:sz w:val="28"/>
          <w:szCs w:val="28"/>
        </w:rPr>
        <w:t>DVP资金账户、交易所资金账户、机构间私募资金账户及理财</w:t>
      </w:r>
      <w:r>
        <w:rPr>
          <w:rFonts w:hint="eastAsia" w:ascii="仿宋_GB2312" w:hAnsi="仿宋" w:eastAsia="仿宋_GB2312"/>
          <w:sz w:val="28"/>
          <w:szCs w:val="28"/>
        </w:rPr>
        <w:t>直融</w:t>
      </w:r>
      <w:r>
        <w:rPr>
          <w:rFonts w:ascii="仿宋_GB2312" w:hAnsi="仿宋" w:eastAsia="仿宋_GB2312"/>
          <w:sz w:val="28"/>
          <w:szCs w:val="28"/>
        </w:rPr>
        <w:t>工具账户</w:t>
      </w:r>
      <w:r>
        <w:rPr>
          <w:rFonts w:hint="eastAsia" w:ascii="仿宋_GB2312" w:hAnsi="仿宋" w:eastAsia="仿宋_GB2312"/>
          <w:sz w:val="28"/>
          <w:szCs w:val="28"/>
        </w:rPr>
        <w:t>等。</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12</w:t>
      </w:r>
      <w:r>
        <w:rPr>
          <w:rFonts w:hint="eastAsia" w:ascii="仿宋_GB2312" w:hAnsi="仿宋" w:eastAsia="仿宋_GB2312"/>
          <w:sz w:val="28"/>
          <w:szCs w:val="28"/>
        </w:rPr>
        <w:t>、划款指令书：指经过</w:t>
      </w:r>
      <w:r>
        <w:rPr>
          <w:rFonts w:ascii="仿宋_GB2312" w:hAnsi="仿宋" w:eastAsia="仿宋_GB2312"/>
          <w:sz w:val="28"/>
          <w:szCs w:val="28"/>
        </w:rPr>
        <w:t>甲方授权审批人审批通过的</w:t>
      </w:r>
      <w:r>
        <w:rPr>
          <w:rFonts w:hint="eastAsia" w:ascii="仿宋_GB2312" w:hAnsi="仿宋" w:eastAsia="仿宋_GB2312"/>
          <w:sz w:val="28"/>
          <w:szCs w:val="28"/>
        </w:rPr>
        <w:t>向乙方发出的由理财产品的资金账户向交易对手划付资金、支付理财产品相关费用、</w:t>
      </w:r>
      <w:r>
        <w:rPr>
          <w:rFonts w:ascii="仿宋_GB2312" w:hAnsi="仿宋" w:eastAsia="仿宋_GB2312"/>
          <w:sz w:val="28"/>
          <w:szCs w:val="28"/>
        </w:rPr>
        <w:t>支付客户本金和收益</w:t>
      </w:r>
      <w:r>
        <w:rPr>
          <w:rFonts w:hint="eastAsia" w:ascii="仿宋_GB2312" w:hAnsi="仿宋" w:eastAsia="仿宋_GB2312"/>
          <w:sz w:val="28"/>
          <w:szCs w:val="28"/>
        </w:rPr>
        <w:t>以及账户</w:t>
      </w:r>
      <w:r>
        <w:rPr>
          <w:rFonts w:ascii="仿宋_GB2312" w:hAnsi="仿宋" w:eastAsia="仿宋_GB2312"/>
          <w:sz w:val="28"/>
          <w:szCs w:val="28"/>
        </w:rPr>
        <w:t>间</w:t>
      </w:r>
      <w:r>
        <w:rPr>
          <w:rFonts w:hint="eastAsia" w:ascii="仿宋_GB2312" w:hAnsi="仿宋" w:eastAsia="仿宋_GB2312"/>
          <w:sz w:val="28"/>
          <w:szCs w:val="28"/>
        </w:rPr>
        <w:t>资金互转等的电子</w:t>
      </w:r>
      <w:r>
        <w:rPr>
          <w:rFonts w:ascii="仿宋_GB2312" w:hAnsi="仿宋" w:eastAsia="仿宋_GB2312"/>
          <w:sz w:val="28"/>
          <w:szCs w:val="28"/>
        </w:rPr>
        <w:t>或</w:t>
      </w:r>
      <w:r>
        <w:rPr>
          <w:rFonts w:hint="eastAsia" w:ascii="仿宋_GB2312" w:hAnsi="仿宋" w:eastAsia="仿宋_GB2312"/>
          <w:sz w:val="28"/>
          <w:szCs w:val="28"/>
        </w:rPr>
        <w:t>书面文件（附件一</w:t>
      </w:r>
      <w:r>
        <w:rPr>
          <w:rFonts w:ascii="仿宋_GB2312" w:hAnsi="仿宋" w:eastAsia="仿宋_GB2312"/>
          <w:sz w:val="28"/>
          <w:szCs w:val="28"/>
        </w:rPr>
        <w:t>）</w:t>
      </w:r>
      <w:r>
        <w:rPr>
          <w:rFonts w:hint="eastAsia" w:ascii="仿宋_GB2312" w:hAnsi="仿宋" w:eastAsia="仿宋_GB2312"/>
          <w:sz w:val="28"/>
          <w:szCs w:val="28"/>
        </w:rPr>
        <w:t>。</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13</w:t>
      </w:r>
      <w:r>
        <w:rPr>
          <w:rFonts w:hint="eastAsia" w:ascii="仿宋_GB2312" w:hAnsi="仿宋" w:eastAsia="仿宋_GB2312"/>
          <w:sz w:val="28"/>
          <w:szCs w:val="28"/>
        </w:rPr>
        <w:t>、投资者账户：指投资者指定的用于管理人向投资者支付理财产品资金及收益的银行账户。</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14</w:t>
      </w:r>
      <w:r>
        <w:rPr>
          <w:rFonts w:hint="eastAsia" w:ascii="仿宋_GB2312" w:hAnsi="仿宋" w:eastAsia="仿宋_GB2312"/>
          <w:sz w:val="28"/>
          <w:szCs w:val="28"/>
        </w:rPr>
        <w:t>、本协议</w:t>
      </w:r>
      <w:r>
        <w:rPr>
          <w:rFonts w:ascii="仿宋_GB2312" w:hAnsi="仿宋" w:eastAsia="仿宋_GB2312"/>
          <w:sz w:val="28"/>
          <w:szCs w:val="28"/>
        </w:rPr>
        <w:t>/本托管协议</w:t>
      </w:r>
      <w:r>
        <w:rPr>
          <w:rFonts w:hint="eastAsia" w:ascii="仿宋_GB2312" w:hAnsi="仿宋" w:eastAsia="仿宋_GB2312"/>
          <w:sz w:val="28"/>
          <w:szCs w:val="28"/>
        </w:rPr>
        <w:t>：指本《徽商</w:t>
      </w:r>
      <w:r>
        <w:rPr>
          <w:rFonts w:ascii="仿宋_GB2312" w:hAnsi="仿宋" w:eastAsia="仿宋_GB2312"/>
          <w:sz w:val="28"/>
          <w:szCs w:val="28"/>
        </w:rPr>
        <w:t>银行股份有限公司</w:t>
      </w:r>
      <w:r>
        <w:rPr>
          <w:rFonts w:hint="eastAsia" w:ascii="仿宋_GB2312" w:hAnsi="仿宋" w:eastAsia="仿宋_GB2312"/>
          <w:sz w:val="28"/>
          <w:szCs w:val="28"/>
        </w:rPr>
        <w:t>与信银理财有限责任公司理财产品托管协议》以及本协议的任何修订和补充。</w:t>
      </w:r>
    </w:p>
    <w:p>
      <w:pPr>
        <w:pStyle w:val="18"/>
        <w:spacing w:before="0" w:after="0" w:line="520" w:lineRule="exact"/>
        <w:ind w:left="0" w:firstLine="560"/>
        <w:rPr>
          <w:rFonts w:ascii="仿宋_GB2312" w:hAnsi="仿宋" w:eastAsia="仿宋_GB2312"/>
          <w:sz w:val="28"/>
          <w:szCs w:val="28"/>
        </w:rPr>
      </w:pPr>
      <w:r>
        <w:rPr>
          <w:rFonts w:hint="eastAsia" w:ascii="仿宋_GB2312" w:hAnsi="仿宋" w:eastAsia="仿宋_GB2312"/>
          <w:sz w:val="28"/>
          <w:szCs w:val="28"/>
        </w:rPr>
        <w:t>本协议没有约定的其他相关释义依据理财产品文件之定义。</w:t>
      </w:r>
    </w:p>
    <w:p>
      <w:pPr>
        <w:pStyle w:val="18"/>
        <w:spacing w:before="0" w:after="0" w:line="520" w:lineRule="exact"/>
        <w:ind w:left="0" w:firstLine="560"/>
        <w:rPr>
          <w:rFonts w:ascii="仿宋_GB2312" w:hAnsi="仿宋" w:eastAsia="仿宋_GB2312"/>
          <w:sz w:val="28"/>
          <w:szCs w:val="28"/>
        </w:rPr>
      </w:pPr>
    </w:p>
    <w:p>
      <w:pPr>
        <w:pStyle w:val="3"/>
        <w:tabs>
          <w:tab w:val="left" w:pos="6779"/>
        </w:tabs>
        <w:spacing w:line="520" w:lineRule="exact"/>
        <w:ind w:firstLine="562"/>
        <w:rPr>
          <w:rFonts w:ascii="仿宋_GB2312" w:hAnsi="仿宋" w:eastAsia="仿宋_GB2312"/>
          <w:bCs/>
          <w:color w:val="auto"/>
          <w:sz w:val="28"/>
          <w:szCs w:val="28"/>
        </w:rPr>
      </w:pPr>
      <w:bookmarkStart w:id="0" w:name="_Toc296551337"/>
      <w:r>
        <w:rPr>
          <w:rFonts w:hint="eastAsia" w:ascii="仿宋_GB2312" w:hAnsi="仿宋" w:eastAsia="仿宋_GB2312"/>
          <w:bCs/>
          <w:color w:val="auto"/>
          <w:sz w:val="28"/>
          <w:szCs w:val="28"/>
        </w:rPr>
        <w:t>第一条理财</w:t>
      </w:r>
      <w:r>
        <w:rPr>
          <w:rFonts w:ascii="仿宋_GB2312" w:hAnsi="仿宋" w:eastAsia="仿宋_GB2312"/>
          <w:bCs/>
          <w:color w:val="auto"/>
          <w:sz w:val="28"/>
          <w:szCs w:val="28"/>
        </w:rPr>
        <w:t>产品</w:t>
      </w:r>
      <w:r>
        <w:rPr>
          <w:rFonts w:hint="eastAsia" w:ascii="仿宋_GB2312" w:hAnsi="仿宋" w:eastAsia="仿宋_GB2312"/>
          <w:bCs/>
          <w:color w:val="auto"/>
          <w:sz w:val="28"/>
          <w:szCs w:val="28"/>
        </w:rPr>
        <w:t>托管协议当事人</w:t>
      </w:r>
      <w:bookmarkEnd w:id="0"/>
      <w:r>
        <w:rPr>
          <w:rFonts w:ascii="仿宋_GB2312" w:hAnsi="仿宋" w:eastAsia="仿宋_GB2312"/>
          <w:bCs/>
          <w:color w:val="auto"/>
          <w:sz w:val="28"/>
          <w:szCs w:val="28"/>
        </w:rPr>
        <w:tab/>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1.1</w:t>
      </w:r>
      <w:r>
        <w:rPr>
          <w:rFonts w:hint="eastAsia" w:ascii="仿宋_GB2312" w:hAnsi="仿宋" w:eastAsia="仿宋_GB2312"/>
          <w:sz w:val="28"/>
          <w:szCs w:val="28"/>
        </w:rPr>
        <w:t>管理人：</w:t>
      </w:r>
    </w:p>
    <w:p>
      <w:pPr>
        <w:pStyle w:val="18"/>
        <w:spacing w:before="0" w:after="0" w:line="520" w:lineRule="exact"/>
        <w:ind w:left="0" w:firstLine="560"/>
        <w:rPr>
          <w:rFonts w:ascii="仿宋_GB2312" w:hAnsi="仿宋" w:eastAsia="仿宋_GB2312"/>
          <w:b/>
          <w:sz w:val="28"/>
          <w:szCs w:val="28"/>
        </w:rPr>
      </w:pPr>
      <w:r>
        <w:rPr>
          <w:rFonts w:hint="eastAsia" w:ascii="仿宋_GB2312" w:hAnsi="仿宋" w:eastAsia="仿宋_GB2312"/>
          <w:sz w:val="28"/>
          <w:szCs w:val="28"/>
        </w:rPr>
        <w:t>名称：信银理财有限责任公司</w:t>
      </w:r>
    </w:p>
    <w:p>
      <w:pPr>
        <w:pStyle w:val="18"/>
        <w:spacing w:before="0" w:after="0" w:line="520" w:lineRule="exact"/>
        <w:ind w:left="0" w:firstLine="560"/>
        <w:rPr>
          <w:rFonts w:ascii="仿宋_GB2312" w:hAnsi="仿宋" w:eastAsia="仿宋_GB2312"/>
          <w:sz w:val="28"/>
          <w:szCs w:val="28"/>
        </w:rPr>
      </w:pPr>
      <w:r>
        <w:rPr>
          <w:rFonts w:hint="eastAsia" w:ascii="仿宋_GB2312" w:hAnsi="仿宋" w:eastAsia="仿宋_GB2312"/>
          <w:sz w:val="28"/>
          <w:szCs w:val="28"/>
        </w:rPr>
        <w:t>住所：上海市区</w:t>
      </w:r>
      <w:r>
        <w:rPr>
          <w:rFonts w:hint="eastAsia" w:ascii="仿宋_GB2312" w:hAnsi="仿宋_GB2312" w:eastAsia="仿宋_GB2312" w:cs="仿宋_GB2312"/>
          <w:sz w:val="28"/>
          <w:szCs w:val="28"/>
        </w:rPr>
        <w:t>黄浦区中山东二路</w:t>
      </w:r>
      <w:r>
        <w:rPr>
          <w:rFonts w:ascii="仿宋_GB2312" w:hAnsi="仿宋" w:eastAsia="仿宋_GB2312"/>
          <w:sz w:val="28"/>
          <w:szCs w:val="28"/>
        </w:rPr>
        <w:t>600</w:t>
      </w:r>
      <w:r>
        <w:rPr>
          <w:rFonts w:hint="eastAsia" w:ascii="仿宋_GB2312" w:hAnsi="仿宋" w:eastAsia="仿宋_GB2312"/>
          <w:sz w:val="28"/>
          <w:szCs w:val="28"/>
        </w:rPr>
        <w:t>号</w:t>
      </w:r>
      <w:r>
        <w:rPr>
          <w:rFonts w:ascii="仿宋_GB2312" w:hAnsi="仿宋" w:eastAsia="仿宋_GB2312"/>
          <w:sz w:val="28"/>
          <w:szCs w:val="28"/>
        </w:rPr>
        <w:t>1</w:t>
      </w:r>
      <w:r>
        <w:rPr>
          <w:rFonts w:hint="eastAsia" w:ascii="仿宋_GB2312" w:hAnsi="仿宋" w:eastAsia="仿宋_GB2312"/>
          <w:sz w:val="28"/>
          <w:szCs w:val="28"/>
        </w:rPr>
        <w:t>幢</w:t>
      </w:r>
      <w:r>
        <w:rPr>
          <w:rFonts w:ascii="仿宋_GB2312" w:hAnsi="仿宋" w:eastAsia="仿宋_GB2312"/>
          <w:sz w:val="28"/>
          <w:szCs w:val="28"/>
        </w:rPr>
        <w:t>35</w:t>
      </w:r>
      <w:r>
        <w:rPr>
          <w:rFonts w:hint="eastAsia" w:ascii="仿宋_GB2312" w:hAnsi="仿宋" w:eastAsia="仿宋_GB2312"/>
          <w:sz w:val="28"/>
          <w:szCs w:val="28"/>
        </w:rPr>
        <w:t>层、</w:t>
      </w:r>
      <w:r>
        <w:rPr>
          <w:rFonts w:ascii="仿宋_GB2312" w:hAnsi="仿宋" w:eastAsia="仿宋_GB2312"/>
          <w:sz w:val="28"/>
          <w:szCs w:val="28"/>
        </w:rPr>
        <w:t>36</w:t>
      </w:r>
      <w:r>
        <w:rPr>
          <w:rFonts w:hint="eastAsia" w:ascii="仿宋_GB2312" w:hAnsi="仿宋" w:eastAsia="仿宋_GB2312"/>
          <w:sz w:val="28"/>
          <w:szCs w:val="28"/>
        </w:rPr>
        <w:t>层</w:t>
      </w:r>
    </w:p>
    <w:p>
      <w:pPr>
        <w:pStyle w:val="18"/>
        <w:spacing w:before="0" w:after="0" w:line="520" w:lineRule="exact"/>
        <w:ind w:left="0" w:firstLine="560"/>
        <w:rPr>
          <w:rFonts w:ascii="仿宋_GB2312" w:hAnsi="仿宋" w:eastAsia="仿宋_GB2312"/>
          <w:sz w:val="28"/>
          <w:szCs w:val="28"/>
        </w:rPr>
      </w:pPr>
      <w:r>
        <w:rPr>
          <w:rFonts w:hint="eastAsia" w:ascii="仿宋_GB2312" w:hAnsi="仿宋" w:eastAsia="仿宋_GB2312"/>
          <w:sz w:val="28"/>
          <w:szCs w:val="28"/>
        </w:rPr>
        <w:t>法定代表人</w:t>
      </w:r>
      <w:r>
        <w:rPr>
          <w:rFonts w:ascii="仿宋_GB2312" w:hAnsi="仿宋" w:eastAsia="仿宋_GB2312"/>
          <w:sz w:val="28"/>
          <w:szCs w:val="28"/>
        </w:rPr>
        <w:t>:</w:t>
      </w:r>
      <w:r>
        <w:rPr>
          <w:rFonts w:hint="eastAsia" w:ascii="仿宋_GB2312" w:hAnsi="仿宋" w:eastAsia="仿宋_GB2312"/>
          <w:sz w:val="28"/>
          <w:szCs w:val="28"/>
          <w:lang w:val="en-US" w:eastAsia="zh-CN"/>
        </w:rPr>
        <w:t>王洪栋</w:t>
      </w:r>
    </w:p>
    <w:p>
      <w:pPr>
        <w:pStyle w:val="18"/>
        <w:spacing w:before="0" w:after="0" w:line="520" w:lineRule="exact"/>
        <w:ind w:left="0" w:firstLine="560"/>
        <w:rPr>
          <w:rFonts w:ascii="仿宋_GB2312" w:hAnsi="仿宋" w:eastAsia="仿宋_GB2312"/>
          <w:sz w:val="28"/>
          <w:szCs w:val="28"/>
        </w:rPr>
      </w:pPr>
      <w:r>
        <w:rPr>
          <w:rFonts w:hint="eastAsia" w:ascii="仿宋_GB2312" w:hAnsi="仿宋" w:eastAsia="仿宋_GB2312"/>
          <w:sz w:val="28"/>
          <w:szCs w:val="28"/>
        </w:rPr>
        <w:t>成立时间：</w:t>
      </w:r>
      <w:r>
        <w:rPr>
          <w:rFonts w:ascii="仿宋_GB2312" w:hAnsi="仿宋" w:eastAsia="仿宋_GB2312"/>
          <w:sz w:val="28"/>
          <w:szCs w:val="28"/>
        </w:rPr>
        <w:t>2020</w:t>
      </w:r>
      <w:r>
        <w:rPr>
          <w:rFonts w:hint="eastAsia" w:ascii="仿宋_GB2312" w:hAnsi="仿宋" w:eastAsia="仿宋_GB2312"/>
          <w:sz w:val="28"/>
          <w:szCs w:val="28"/>
        </w:rPr>
        <w:t>年</w:t>
      </w:r>
      <w:r>
        <w:rPr>
          <w:rFonts w:ascii="仿宋_GB2312" w:hAnsi="仿宋" w:eastAsia="仿宋_GB2312"/>
          <w:sz w:val="28"/>
          <w:szCs w:val="28"/>
        </w:rPr>
        <w:t>7</w:t>
      </w:r>
      <w:r>
        <w:rPr>
          <w:rFonts w:hint="eastAsia" w:ascii="仿宋_GB2312" w:hAnsi="仿宋" w:eastAsia="仿宋_GB2312"/>
          <w:sz w:val="28"/>
          <w:szCs w:val="28"/>
        </w:rPr>
        <w:t>月</w:t>
      </w:r>
      <w:r>
        <w:rPr>
          <w:rFonts w:ascii="仿宋_GB2312" w:hAnsi="仿宋" w:eastAsia="仿宋_GB2312"/>
          <w:sz w:val="28"/>
          <w:szCs w:val="28"/>
        </w:rPr>
        <w:t>1</w:t>
      </w:r>
      <w:r>
        <w:rPr>
          <w:rFonts w:hint="eastAsia" w:ascii="仿宋_GB2312" w:hAnsi="仿宋" w:eastAsia="仿宋_GB2312"/>
          <w:sz w:val="28"/>
          <w:szCs w:val="28"/>
        </w:rPr>
        <w:t>日</w:t>
      </w:r>
    </w:p>
    <w:p>
      <w:pPr>
        <w:pStyle w:val="18"/>
        <w:spacing w:before="0" w:after="0" w:line="520" w:lineRule="exact"/>
        <w:ind w:left="0" w:firstLine="560"/>
        <w:rPr>
          <w:rFonts w:ascii="仿宋_GB2312" w:hAnsi="仿宋" w:eastAsia="仿宋_GB2312"/>
          <w:sz w:val="28"/>
          <w:szCs w:val="28"/>
        </w:rPr>
      </w:pPr>
      <w:r>
        <w:rPr>
          <w:rFonts w:hint="eastAsia" w:ascii="仿宋_GB2312" w:hAnsi="仿宋" w:eastAsia="仿宋_GB2312"/>
          <w:sz w:val="28"/>
          <w:szCs w:val="28"/>
        </w:rPr>
        <w:t>批准设立文号：银保监复〔</w:t>
      </w:r>
      <w:r>
        <w:rPr>
          <w:rFonts w:ascii="仿宋_GB2312" w:hAnsi="仿宋" w:eastAsia="仿宋_GB2312"/>
          <w:sz w:val="28"/>
          <w:szCs w:val="28"/>
        </w:rPr>
        <w:t>2020</w:t>
      </w:r>
      <w:r>
        <w:rPr>
          <w:rFonts w:hint="eastAsia" w:ascii="仿宋_GB2312" w:hAnsi="仿宋" w:eastAsia="仿宋_GB2312"/>
          <w:sz w:val="28"/>
          <w:szCs w:val="28"/>
        </w:rPr>
        <w:t>〕</w:t>
      </w:r>
      <w:r>
        <w:rPr>
          <w:rFonts w:ascii="仿宋_GB2312" w:hAnsi="仿宋" w:eastAsia="仿宋_GB2312"/>
          <w:sz w:val="28"/>
          <w:szCs w:val="28"/>
        </w:rPr>
        <w:t>359</w:t>
      </w:r>
      <w:r>
        <w:rPr>
          <w:rFonts w:hint="eastAsia" w:ascii="仿宋_GB2312" w:hAnsi="仿宋" w:eastAsia="仿宋_GB2312"/>
          <w:sz w:val="28"/>
          <w:szCs w:val="28"/>
        </w:rPr>
        <w:t>号</w:t>
      </w:r>
    </w:p>
    <w:p>
      <w:pPr>
        <w:pStyle w:val="18"/>
        <w:spacing w:before="0" w:after="0" w:line="520" w:lineRule="exact"/>
        <w:ind w:left="0" w:firstLine="560"/>
        <w:rPr>
          <w:rFonts w:ascii="仿宋_GB2312" w:hAnsi="仿宋" w:eastAsia="仿宋_GB2312"/>
          <w:sz w:val="28"/>
          <w:szCs w:val="28"/>
        </w:rPr>
      </w:pPr>
      <w:r>
        <w:rPr>
          <w:rFonts w:hint="eastAsia" w:ascii="仿宋_GB2312" w:hAnsi="仿宋" w:eastAsia="仿宋_GB2312"/>
          <w:sz w:val="28"/>
          <w:szCs w:val="28"/>
        </w:rPr>
        <w:t>组织形式：有限责任公司（非自然人投资或控股的法人独资）</w:t>
      </w:r>
    </w:p>
    <w:p>
      <w:pPr>
        <w:pStyle w:val="18"/>
        <w:spacing w:before="0" w:after="0" w:line="520" w:lineRule="exact"/>
        <w:ind w:left="0" w:firstLine="560"/>
        <w:rPr>
          <w:rFonts w:ascii="仿宋_GB2312" w:hAnsi="仿宋" w:eastAsia="仿宋_GB2312"/>
          <w:sz w:val="28"/>
          <w:szCs w:val="28"/>
        </w:rPr>
      </w:pPr>
      <w:r>
        <w:rPr>
          <w:rFonts w:hint="eastAsia" w:ascii="仿宋_GB2312" w:hAnsi="仿宋" w:eastAsia="仿宋_GB2312"/>
          <w:sz w:val="28"/>
          <w:szCs w:val="28"/>
        </w:rPr>
        <w:t>注册资本：</w:t>
      </w:r>
      <w:r>
        <w:rPr>
          <w:rFonts w:ascii="仿宋_GB2312" w:hAnsi="仿宋" w:eastAsia="仿宋_GB2312"/>
          <w:sz w:val="28"/>
          <w:szCs w:val="28"/>
        </w:rPr>
        <w:t>50亿</w:t>
      </w:r>
      <w:r>
        <w:rPr>
          <w:rFonts w:hint="eastAsia" w:ascii="仿宋_GB2312" w:hAnsi="仿宋" w:eastAsia="仿宋_GB2312"/>
          <w:sz w:val="28"/>
          <w:szCs w:val="28"/>
        </w:rPr>
        <w:t>元人民币</w:t>
      </w:r>
    </w:p>
    <w:p>
      <w:pPr>
        <w:pStyle w:val="18"/>
        <w:spacing w:before="0" w:after="0" w:line="520" w:lineRule="exact"/>
        <w:ind w:left="0" w:firstLine="560"/>
        <w:rPr>
          <w:rFonts w:ascii="仿宋_GB2312" w:hAnsi="仿宋" w:eastAsia="仿宋_GB2312"/>
          <w:sz w:val="28"/>
          <w:szCs w:val="28"/>
        </w:rPr>
      </w:pPr>
      <w:r>
        <w:rPr>
          <w:rFonts w:hint="eastAsia" w:ascii="仿宋_GB2312" w:hAnsi="仿宋" w:eastAsia="仿宋_GB2312"/>
          <w:sz w:val="28"/>
          <w:szCs w:val="28"/>
        </w:rPr>
        <w:t>营业期限：</w:t>
      </w:r>
      <w:r>
        <w:rPr>
          <w:rFonts w:ascii="仿宋_GB2312" w:hAnsi="仿宋" w:eastAsia="仿宋_GB2312"/>
          <w:sz w:val="28"/>
          <w:szCs w:val="28"/>
        </w:rPr>
        <w:t>2020年7月1日至</w:t>
      </w:r>
      <w:r>
        <w:rPr>
          <w:rFonts w:hint="eastAsia" w:ascii="仿宋_GB2312" w:hAnsi="仿宋" w:eastAsia="仿宋_GB2312"/>
          <w:sz w:val="28"/>
          <w:szCs w:val="28"/>
        </w:rPr>
        <w:t>无固定期限</w:t>
      </w:r>
    </w:p>
    <w:p>
      <w:pPr>
        <w:pStyle w:val="18"/>
        <w:spacing w:before="0" w:after="0" w:line="520" w:lineRule="exact"/>
        <w:ind w:left="0" w:firstLine="560"/>
        <w:rPr>
          <w:rFonts w:ascii="仿宋_GB2312" w:hAnsi="仿宋" w:eastAsia="仿宋_GB2312"/>
          <w:sz w:val="28"/>
          <w:szCs w:val="28"/>
        </w:rPr>
      </w:pPr>
      <w:r>
        <w:rPr>
          <w:rFonts w:hint="eastAsia" w:ascii="仿宋_GB2312" w:hAnsi="仿宋" w:eastAsia="仿宋_GB2312"/>
          <w:sz w:val="28"/>
          <w:szCs w:val="28"/>
        </w:rPr>
        <w:t>经营范围：面向不特定社会公众公开发行理财产品，对受托的投资者财产进行投资和管理；面向合格投资者非公开发行理财产品，对受托的投资者财产进行投资和管理；理财顾问和咨询服务；经国务院银行业监督管理机构批准的其他业务。</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1.2</w:t>
      </w:r>
      <w:r>
        <w:rPr>
          <w:rFonts w:hint="eastAsia" w:ascii="仿宋_GB2312" w:hAnsi="仿宋" w:eastAsia="仿宋_GB2312"/>
          <w:sz w:val="28"/>
          <w:szCs w:val="28"/>
        </w:rPr>
        <w:t>托管人：</w:t>
      </w:r>
    </w:p>
    <w:p>
      <w:pPr>
        <w:pStyle w:val="18"/>
        <w:spacing w:before="0" w:after="0" w:line="520" w:lineRule="exact"/>
        <w:ind w:left="0" w:firstLine="560"/>
        <w:rPr>
          <w:rFonts w:ascii="仿宋_GB2312" w:hAnsi="仿宋" w:eastAsia="仿宋_GB2312"/>
          <w:sz w:val="28"/>
          <w:szCs w:val="28"/>
        </w:rPr>
      </w:pPr>
      <w:r>
        <w:rPr>
          <w:rFonts w:hint="eastAsia" w:ascii="仿宋_GB2312" w:hAnsi="仿宋" w:eastAsia="仿宋_GB2312"/>
          <w:sz w:val="28"/>
          <w:szCs w:val="28"/>
        </w:rPr>
        <w:t>名称：徽商</w:t>
      </w:r>
      <w:r>
        <w:rPr>
          <w:rFonts w:ascii="仿宋_GB2312" w:hAnsi="仿宋" w:eastAsia="仿宋_GB2312"/>
          <w:sz w:val="28"/>
          <w:szCs w:val="28"/>
        </w:rPr>
        <w:t>银行股份有限公司</w:t>
      </w:r>
    </w:p>
    <w:p>
      <w:pPr>
        <w:pStyle w:val="18"/>
        <w:spacing w:before="0" w:after="0" w:line="520" w:lineRule="exact"/>
        <w:ind w:left="0" w:firstLine="560"/>
        <w:rPr>
          <w:rFonts w:ascii="仿宋_GB2312" w:hAnsi="仿宋" w:eastAsia="仿宋_GB2312"/>
          <w:sz w:val="28"/>
          <w:szCs w:val="28"/>
        </w:rPr>
      </w:pPr>
      <w:r>
        <w:rPr>
          <w:rFonts w:hint="eastAsia" w:ascii="仿宋_GB2312" w:hAnsi="仿宋" w:eastAsia="仿宋_GB2312"/>
          <w:sz w:val="28"/>
          <w:szCs w:val="28"/>
        </w:rPr>
        <w:t>住所：</w:t>
      </w:r>
      <w:r>
        <w:rPr>
          <w:rFonts w:hint="eastAsia" w:ascii="仿宋_GB2312" w:hAnsi="仿宋" w:eastAsia="仿宋_GB2312"/>
          <w:sz w:val="28"/>
          <w:szCs w:val="28"/>
          <w:lang w:val="en-US" w:eastAsia="zh-CN"/>
        </w:rPr>
        <w:t>合肥市滨湖新区云谷路1699号</w:t>
      </w:r>
      <w:r>
        <w:rPr>
          <w:rFonts w:ascii="仿宋_GB2312" w:hAnsi="仿宋_GB2312" w:eastAsia="仿宋_GB2312"/>
          <w:sz w:val="28"/>
          <w:szCs w:val="28"/>
        </w:rPr>
        <w:t xml:space="preserve"> </w:t>
      </w:r>
    </w:p>
    <w:p>
      <w:pPr>
        <w:pStyle w:val="18"/>
        <w:spacing w:before="0" w:after="0" w:line="520" w:lineRule="exact"/>
        <w:ind w:left="0" w:firstLine="560"/>
        <w:rPr>
          <w:rFonts w:ascii="仿宋_GB2312" w:hAnsi="仿宋" w:eastAsia="仿宋_GB2312"/>
          <w:sz w:val="28"/>
          <w:szCs w:val="28"/>
        </w:rPr>
      </w:pPr>
      <w:r>
        <w:rPr>
          <w:rFonts w:hint="eastAsia" w:ascii="仿宋_GB2312" w:hAnsi="仿宋" w:eastAsia="仿宋_GB2312"/>
          <w:sz w:val="28"/>
          <w:szCs w:val="28"/>
        </w:rPr>
        <w:t>负责人</w:t>
      </w:r>
      <w:r>
        <w:rPr>
          <w:rFonts w:ascii="仿宋_GB2312" w:hAnsi="仿宋" w:eastAsia="仿宋_GB2312"/>
          <w:sz w:val="28"/>
          <w:szCs w:val="28"/>
        </w:rPr>
        <w:t>:</w:t>
      </w:r>
      <w:r>
        <w:rPr>
          <w:rFonts w:hint="eastAsia" w:ascii="仿宋_GB2312" w:hAnsi="仿宋" w:eastAsia="仿宋_GB2312"/>
          <w:sz w:val="28"/>
          <w:szCs w:val="28"/>
        </w:rPr>
        <w:t xml:space="preserve"> </w:t>
      </w:r>
      <w:r>
        <w:rPr>
          <w:rFonts w:hint="eastAsia" w:ascii="仿宋_GB2312" w:hAnsi="仿宋" w:eastAsia="仿宋_GB2312"/>
          <w:sz w:val="28"/>
          <w:szCs w:val="28"/>
          <w:lang w:val="en-US" w:eastAsia="zh-CN"/>
        </w:rPr>
        <w:t>裴娟</w:t>
      </w:r>
    </w:p>
    <w:p>
      <w:pPr>
        <w:pStyle w:val="18"/>
        <w:spacing w:before="0" w:after="0" w:line="520" w:lineRule="exact"/>
        <w:ind w:left="0" w:firstLine="560"/>
        <w:rPr>
          <w:rFonts w:ascii="仿宋_GB2312" w:hAnsi="仿宋" w:eastAsia="仿宋_GB2312"/>
          <w:sz w:val="28"/>
          <w:szCs w:val="28"/>
        </w:rPr>
      </w:pPr>
      <w:r>
        <w:rPr>
          <w:rFonts w:hint="eastAsia" w:ascii="仿宋_GB2312" w:hAnsi="仿宋" w:eastAsia="仿宋_GB2312"/>
          <w:sz w:val="28"/>
          <w:szCs w:val="28"/>
        </w:rPr>
        <w:t>成立时间：</w:t>
      </w:r>
      <w:r>
        <w:rPr>
          <w:rFonts w:hint="eastAsia" w:ascii="仿宋_GB2312" w:hAnsi="仿宋" w:eastAsia="仿宋_GB2312"/>
          <w:sz w:val="28"/>
          <w:szCs w:val="28"/>
          <w:lang w:val="en-US" w:eastAsia="zh-CN"/>
        </w:rPr>
        <w:t>1997年4月4日</w:t>
      </w:r>
      <w:r>
        <w:rPr>
          <w:rFonts w:ascii="仿宋_GB2312" w:hAnsi="仿宋" w:eastAsia="仿宋_GB2312"/>
          <w:sz w:val="28"/>
          <w:szCs w:val="28"/>
        </w:rPr>
        <w:t xml:space="preserve"> </w:t>
      </w:r>
    </w:p>
    <w:p>
      <w:pPr>
        <w:pStyle w:val="18"/>
        <w:spacing w:before="0" w:after="0" w:line="520" w:lineRule="exact"/>
        <w:ind w:left="0" w:firstLine="560"/>
        <w:rPr>
          <w:rFonts w:ascii="仿宋_GB2312" w:hAnsi="仿宋" w:eastAsia="仿宋_GB2312"/>
          <w:sz w:val="28"/>
          <w:szCs w:val="28"/>
        </w:rPr>
      </w:pPr>
      <w:r>
        <w:rPr>
          <w:rFonts w:hint="eastAsia" w:ascii="仿宋_GB2312" w:hAnsi="仿宋" w:eastAsia="仿宋_GB2312"/>
          <w:sz w:val="28"/>
          <w:szCs w:val="28"/>
        </w:rPr>
        <w:t>基金托管业务批准文号：</w:t>
      </w:r>
      <w:r>
        <w:rPr>
          <w:rFonts w:hint="eastAsia" w:ascii="仿宋_GB2312" w:hAnsi="仿宋" w:eastAsia="仿宋_GB2312"/>
          <w:sz w:val="28"/>
          <w:szCs w:val="28"/>
          <w:lang w:val="en-US" w:eastAsia="zh-CN"/>
        </w:rPr>
        <w:t>证监许可</w:t>
      </w:r>
      <w:r>
        <w:rPr>
          <w:rFonts w:hint="eastAsia" w:ascii="仿宋_GB2312" w:hAnsi="仿宋" w:eastAsia="仿宋_GB2312"/>
          <w:sz w:val="28"/>
          <w:szCs w:val="28"/>
        </w:rPr>
        <w:t>〔</w:t>
      </w:r>
      <w:r>
        <w:rPr>
          <w:rFonts w:ascii="仿宋_GB2312" w:hAnsi="仿宋" w:eastAsia="仿宋_GB2312"/>
          <w:sz w:val="28"/>
          <w:szCs w:val="28"/>
        </w:rPr>
        <w:t>20</w:t>
      </w:r>
      <w:r>
        <w:rPr>
          <w:rFonts w:hint="eastAsia" w:ascii="仿宋_GB2312" w:hAnsi="仿宋" w:eastAsia="仿宋_GB2312"/>
          <w:sz w:val="28"/>
          <w:szCs w:val="28"/>
          <w:lang w:val="en-US" w:eastAsia="zh-CN"/>
        </w:rPr>
        <w:t>14</w:t>
      </w:r>
      <w:r>
        <w:rPr>
          <w:rFonts w:hint="eastAsia" w:ascii="仿宋_GB2312" w:hAnsi="仿宋" w:eastAsia="仿宋_GB2312"/>
          <w:sz w:val="28"/>
          <w:szCs w:val="28"/>
        </w:rPr>
        <w:t>〕</w:t>
      </w:r>
      <w:r>
        <w:rPr>
          <w:rFonts w:hint="eastAsia" w:ascii="仿宋_GB2312" w:hAnsi="仿宋" w:eastAsia="仿宋_GB2312"/>
          <w:sz w:val="28"/>
          <w:szCs w:val="28"/>
          <w:lang w:val="en-US" w:eastAsia="zh-CN"/>
        </w:rPr>
        <w:t>63</w:t>
      </w:r>
      <w:r>
        <w:rPr>
          <w:rFonts w:hint="eastAsia" w:ascii="仿宋_GB2312" w:hAnsi="仿宋" w:eastAsia="仿宋_GB2312"/>
          <w:sz w:val="28"/>
          <w:szCs w:val="28"/>
        </w:rPr>
        <w:t>号</w:t>
      </w:r>
      <w:r>
        <w:rPr>
          <w:rFonts w:ascii="仿宋_GB2312" w:hAnsi="仿宋" w:eastAsia="仿宋_GB2312"/>
          <w:sz w:val="28"/>
          <w:szCs w:val="28"/>
        </w:rPr>
        <w:t xml:space="preserve"> </w:t>
      </w:r>
    </w:p>
    <w:p>
      <w:pPr>
        <w:pStyle w:val="18"/>
        <w:spacing w:before="0" w:after="0" w:line="520" w:lineRule="exact"/>
        <w:ind w:left="0" w:firstLine="560"/>
        <w:rPr>
          <w:rFonts w:hint="default" w:ascii="仿宋_GB2312" w:hAnsi="仿宋" w:eastAsia="仿宋_GB2312"/>
          <w:sz w:val="28"/>
          <w:szCs w:val="28"/>
          <w:lang w:val="en-US" w:eastAsia="zh-CN"/>
        </w:rPr>
      </w:pPr>
      <w:r>
        <w:rPr>
          <w:rFonts w:hint="eastAsia" w:ascii="仿宋_GB2312" w:hAnsi="仿宋" w:eastAsia="仿宋_GB2312"/>
          <w:sz w:val="28"/>
          <w:szCs w:val="28"/>
        </w:rPr>
        <w:t>组织形式：</w:t>
      </w:r>
      <w:r>
        <w:rPr>
          <w:rFonts w:hint="eastAsia" w:ascii="仿宋_GB2312" w:hAnsi="仿宋" w:eastAsia="仿宋_GB2312"/>
          <w:sz w:val="28"/>
          <w:szCs w:val="28"/>
          <w:lang w:val="en-US" w:eastAsia="zh-CN"/>
        </w:rPr>
        <w:t>其他股份有限公司（上市）</w:t>
      </w:r>
    </w:p>
    <w:p>
      <w:pPr>
        <w:pStyle w:val="18"/>
        <w:spacing w:before="0" w:after="0" w:line="520" w:lineRule="exact"/>
        <w:ind w:left="0" w:firstLine="0"/>
        <w:rPr>
          <w:rFonts w:ascii="仿宋_GB2312" w:hAnsi="仿宋" w:eastAsia="仿宋_GB2312"/>
          <w:sz w:val="28"/>
          <w:szCs w:val="28"/>
        </w:rPr>
      </w:pPr>
      <w:r>
        <w:rPr>
          <w:rFonts w:hint="eastAsia" w:ascii="仿宋_GB2312" w:hAnsi="仿宋" w:eastAsia="仿宋_GB2312"/>
          <w:sz w:val="28"/>
          <w:szCs w:val="28"/>
          <w:lang w:val="en-US" w:eastAsia="zh-CN"/>
        </w:rPr>
        <w:t xml:space="preserve">    </w:t>
      </w:r>
      <w:r>
        <w:rPr>
          <w:rFonts w:hint="eastAsia" w:ascii="仿宋_GB2312" w:hAnsi="仿宋" w:eastAsia="仿宋_GB2312"/>
          <w:sz w:val="28"/>
          <w:szCs w:val="28"/>
        </w:rPr>
        <w:t>营业期限：无固定期限</w:t>
      </w:r>
    </w:p>
    <w:p>
      <w:pPr>
        <w:pStyle w:val="3"/>
        <w:spacing w:line="520" w:lineRule="exact"/>
        <w:ind w:firstLine="0"/>
        <w:rPr>
          <w:rFonts w:ascii="仿宋_GB2312" w:hAnsi="仿宋" w:eastAsia="仿宋_GB2312"/>
          <w:bCs/>
          <w:color w:val="auto"/>
          <w:sz w:val="28"/>
          <w:szCs w:val="28"/>
        </w:rPr>
      </w:pPr>
      <w:r>
        <w:rPr>
          <w:rFonts w:hint="eastAsia" w:ascii="仿宋_GB2312" w:hAnsi="仿宋" w:eastAsia="仿宋_GB2312"/>
          <w:sz w:val="28"/>
          <w:szCs w:val="28"/>
          <w:lang w:val="en-US" w:eastAsia="zh-CN"/>
        </w:rPr>
        <w:t xml:space="preserve">    </w:t>
      </w:r>
      <w:bookmarkStart w:id="1" w:name="_Toc296551338"/>
      <w:r>
        <w:rPr>
          <w:rFonts w:hint="eastAsia" w:ascii="仿宋_GB2312" w:hAnsi="仿宋" w:eastAsia="仿宋_GB2312"/>
          <w:bCs/>
          <w:color w:val="auto"/>
          <w:sz w:val="28"/>
          <w:szCs w:val="28"/>
        </w:rPr>
        <w:t>第二条</w:t>
      </w:r>
      <w:r>
        <w:rPr>
          <w:rFonts w:ascii="仿宋_GB2312" w:hAnsi="仿宋" w:eastAsia="仿宋_GB2312"/>
          <w:bCs/>
          <w:color w:val="auto"/>
          <w:sz w:val="28"/>
          <w:szCs w:val="28"/>
        </w:rPr>
        <w:t xml:space="preserve"> </w:t>
      </w:r>
      <w:r>
        <w:rPr>
          <w:rFonts w:hint="eastAsia" w:ascii="仿宋_GB2312" w:hAnsi="仿宋" w:eastAsia="仿宋_GB2312"/>
          <w:bCs/>
          <w:color w:val="auto"/>
          <w:sz w:val="28"/>
          <w:szCs w:val="28"/>
        </w:rPr>
        <w:t>理财</w:t>
      </w:r>
      <w:r>
        <w:rPr>
          <w:rFonts w:ascii="仿宋_GB2312" w:hAnsi="仿宋" w:eastAsia="仿宋_GB2312"/>
          <w:bCs/>
          <w:color w:val="auto"/>
          <w:sz w:val="28"/>
          <w:szCs w:val="28"/>
        </w:rPr>
        <w:t>产品</w:t>
      </w:r>
      <w:r>
        <w:rPr>
          <w:rFonts w:hint="eastAsia" w:ascii="仿宋_GB2312" w:hAnsi="仿宋" w:eastAsia="仿宋_GB2312"/>
          <w:bCs/>
          <w:color w:val="auto"/>
          <w:sz w:val="28"/>
          <w:szCs w:val="28"/>
        </w:rPr>
        <w:t>托管协议的依据、目的和原则</w:t>
      </w:r>
      <w:bookmarkEnd w:id="1"/>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2.1</w:t>
      </w:r>
      <w:r>
        <w:rPr>
          <w:rFonts w:hint="eastAsia" w:ascii="仿宋_GB2312" w:hAnsi="仿宋" w:eastAsia="仿宋_GB2312"/>
          <w:sz w:val="28"/>
          <w:szCs w:val="28"/>
        </w:rPr>
        <w:t>托管协议的依据</w:t>
      </w:r>
    </w:p>
    <w:p>
      <w:pPr>
        <w:pStyle w:val="18"/>
        <w:spacing w:before="0" w:after="0" w:line="520" w:lineRule="exact"/>
        <w:ind w:left="0" w:firstLine="560"/>
        <w:rPr>
          <w:rFonts w:ascii="仿宋_GB2312" w:hAnsi="仿宋" w:eastAsia="仿宋_GB2312"/>
          <w:sz w:val="28"/>
          <w:szCs w:val="28"/>
        </w:rPr>
      </w:pPr>
      <w:r>
        <w:rPr>
          <w:rFonts w:hint="eastAsia" w:ascii="仿宋_GB2312" w:hAnsi="仿宋" w:eastAsia="仿宋_GB2312"/>
          <w:sz w:val="28"/>
          <w:szCs w:val="28"/>
        </w:rPr>
        <w:t>订立本协议的依据是《中华人民共和国民法典》、《商业</w:t>
      </w:r>
      <w:r>
        <w:rPr>
          <w:rFonts w:ascii="仿宋_GB2312" w:hAnsi="仿宋" w:eastAsia="仿宋_GB2312"/>
          <w:sz w:val="28"/>
          <w:szCs w:val="28"/>
        </w:rPr>
        <w:t>银行</w:t>
      </w:r>
      <w:r>
        <w:rPr>
          <w:rFonts w:hint="eastAsia" w:ascii="仿宋_GB2312" w:hAnsi="仿宋" w:eastAsia="仿宋_GB2312"/>
          <w:sz w:val="28"/>
          <w:szCs w:val="28"/>
        </w:rPr>
        <w:t>理财</w:t>
      </w:r>
      <w:r>
        <w:rPr>
          <w:rFonts w:ascii="仿宋_GB2312" w:hAnsi="仿宋" w:eastAsia="仿宋_GB2312"/>
          <w:sz w:val="28"/>
          <w:szCs w:val="28"/>
        </w:rPr>
        <w:t>业务监督管理办法》</w:t>
      </w:r>
      <w:r>
        <w:rPr>
          <w:rFonts w:hint="eastAsia" w:ascii="仿宋_GB2312" w:hAnsi="仿宋" w:eastAsia="仿宋_GB2312"/>
          <w:sz w:val="28"/>
          <w:szCs w:val="28"/>
        </w:rPr>
        <w:t>、《商业银行理财子公司管理办法》、《商业</w:t>
      </w:r>
      <w:r>
        <w:rPr>
          <w:rFonts w:ascii="仿宋_GB2312" w:hAnsi="仿宋" w:eastAsia="仿宋_GB2312"/>
          <w:sz w:val="28"/>
          <w:szCs w:val="28"/>
        </w:rPr>
        <w:t>银行资产托管业务指引》</w:t>
      </w:r>
      <w:r>
        <w:rPr>
          <w:rFonts w:hint="eastAsia" w:ascii="仿宋_GB2312" w:hAnsi="仿宋" w:eastAsia="仿宋_GB2312"/>
          <w:sz w:val="28"/>
          <w:szCs w:val="28"/>
        </w:rPr>
        <w:t>等法律法规、以及其他监管规定（以下统称“法律法规”）。</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2.2</w:t>
      </w:r>
      <w:r>
        <w:rPr>
          <w:rFonts w:hint="eastAsia" w:ascii="仿宋_GB2312" w:hAnsi="仿宋" w:eastAsia="仿宋_GB2312"/>
          <w:sz w:val="28"/>
          <w:szCs w:val="28"/>
        </w:rPr>
        <w:t>托管协议的目的</w:t>
      </w:r>
    </w:p>
    <w:p>
      <w:pPr>
        <w:pStyle w:val="18"/>
        <w:spacing w:before="0" w:after="0" w:line="520" w:lineRule="exact"/>
        <w:ind w:left="0" w:firstLine="560"/>
        <w:rPr>
          <w:rFonts w:ascii="仿宋_GB2312" w:hAnsi="仿宋" w:eastAsia="仿宋_GB2312"/>
          <w:sz w:val="28"/>
          <w:szCs w:val="28"/>
        </w:rPr>
      </w:pPr>
      <w:r>
        <w:rPr>
          <w:rFonts w:hint="eastAsia" w:ascii="仿宋_GB2312" w:hAnsi="仿宋" w:eastAsia="仿宋_GB2312"/>
          <w:sz w:val="28"/>
          <w:szCs w:val="28"/>
        </w:rPr>
        <w:t>订立本协议的目的是明确理财</w:t>
      </w:r>
      <w:r>
        <w:rPr>
          <w:rFonts w:ascii="仿宋_GB2312" w:hAnsi="仿宋" w:eastAsia="仿宋_GB2312"/>
          <w:sz w:val="28"/>
          <w:szCs w:val="28"/>
        </w:rPr>
        <w:t>产品</w:t>
      </w:r>
      <w:r>
        <w:rPr>
          <w:rFonts w:hint="eastAsia" w:ascii="仿宋_GB2312" w:hAnsi="仿宋" w:eastAsia="仿宋_GB2312"/>
          <w:sz w:val="28"/>
          <w:szCs w:val="28"/>
        </w:rPr>
        <w:t>托管人与管理人之间在账户开立、理财财产的保管、投资运作、清算交割、净值计算、资产估值、收益分配、信息披露及相互监督等有关事宜中的权利、义务及职责，确保理财财产的安全，保护投资者的合法权益。</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2.3</w:t>
      </w:r>
      <w:r>
        <w:rPr>
          <w:rFonts w:hint="eastAsia" w:ascii="仿宋_GB2312" w:hAnsi="仿宋" w:eastAsia="仿宋_GB2312"/>
          <w:sz w:val="28"/>
          <w:szCs w:val="28"/>
        </w:rPr>
        <w:t>托管协议的原则</w:t>
      </w:r>
    </w:p>
    <w:p>
      <w:pPr>
        <w:pStyle w:val="18"/>
        <w:spacing w:before="0" w:after="0" w:line="520" w:lineRule="exact"/>
        <w:ind w:left="0" w:firstLine="560"/>
        <w:rPr>
          <w:rFonts w:ascii="仿宋_GB2312" w:hAnsi="仿宋" w:eastAsia="仿宋_GB2312"/>
          <w:sz w:val="28"/>
          <w:szCs w:val="28"/>
        </w:rPr>
      </w:pPr>
      <w:r>
        <w:rPr>
          <w:rFonts w:hint="eastAsia" w:ascii="仿宋_GB2312" w:hAnsi="仿宋" w:eastAsia="仿宋_GB2312"/>
          <w:sz w:val="28"/>
          <w:szCs w:val="28"/>
        </w:rPr>
        <w:t>理财</w:t>
      </w:r>
      <w:r>
        <w:rPr>
          <w:rFonts w:ascii="仿宋_GB2312" w:hAnsi="仿宋" w:eastAsia="仿宋_GB2312"/>
          <w:sz w:val="28"/>
          <w:szCs w:val="28"/>
        </w:rPr>
        <w:t>产品</w:t>
      </w:r>
      <w:r>
        <w:rPr>
          <w:rFonts w:hint="eastAsia" w:ascii="仿宋_GB2312" w:hAnsi="仿宋" w:eastAsia="仿宋_GB2312"/>
          <w:sz w:val="28"/>
          <w:szCs w:val="28"/>
        </w:rPr>
        <w:t>管理人和托管人、</w:t>
      </w:r>
      <w:r>
        <w:rPr>
          <w:rFonts w:ascii="仿宋_GB2312" w:hAnsi="仿宋" w:eastAsia="仿宋_GB2312"/>
          <w:sz w:val="28"/>
          <w:szCs w:val="28"/>
        </w:rPr>
        <w:t>托管业务承办人</w:t>
      </w:r>
      <w:r>
        <w:rPr>
          <w:rFonts w:hint="eastAsia" w:ascii="仿宋_GB2312" w:hAnsi="仿宋" w:eastAsia="仿宋_GB2312"/>
          <w:sz w:val="28"/>
          <w:szCs w:val="28"/>
        </w:rPr>
        <w:t>本着平等自愿、诚实信用、充分保护投资者合法权益的原则，经协商一致，签订本协议。</w:t>
      </w:r>
    </w:p>
    <w:p>
      <w:pPr>
        <w:pStyle w:val="3"/>
        <w:tabs>
          <w:tab w:val="left" w:pos="6779"/>
        </w:tabs>
        <w:spacing w:line="520" w:lineRule="exact"/>
        <w:ind w:firstLine="562"/>
        <w:rPr>
          <w:rFonts w:ascii="仿宋_GB2312" w:hAnsi="仿宋" w:eastAsia="仿宋_GB2312"/>
          <w:bCs/>
          <w:color w:val="auto"/>
          <w:sz w:val="28"/>
          <w:szCs w:val="28"/>
        </w:rPr>
      </w:pPr>
      <w:bookmarkStart w:id="2" w:name="_Toc296551339"/>
      <w:r>
        <w:rPr>
          <w:rFonts w:hint="eastAsia" w:ascii="仿宋_GB2312" w:hAnsi="仿宋" w:eastAsia="仿宋_GB2312"/>
          <w:bCs/>
          <w:color w:val="auto"/>
          <w:sz w:val="28"/>
          <w:szCs w:val="28"/>
        </w:rPr>
        <w:t>第三条</w:t>
      </w:r>
      <w:r>
        <w:rPr>
          <w:rFonts w:ascii="仿宋_GB2312" w:hAnsi="仿宋" w:eastAsia="仿宋_GB2312"/>
          <w:bCs/>
          <w:color w:val="auto"/>
          <w:sz w:val="28"/>
          <w:szCs w:val="28"/>
        </w:rPr>
        <w:t xml:space="preserve">  </w:t>
      </w:r>
      <w:r>
        <w:rPr>
          <w:rFonts w:hint="eastAsia" w:ascii="仿宋_GB2312" w:hAnsi="仿宋" w:eastAsia="仿宋_GB2312"/>
          <w:bCs/>
          <w:color w:val="auto"/>
          <w:sz w:val="28"/>
          <w:szCs w:val="28"/>
        </w:rPr>
        <w:t>理财产品的托管</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 xml:space="preserve">3.1 </w:t>
      </w:r>
      <w:r>
        <w:rPr>
          <w:rFonts w:hint="eastAsia" w:ascii="仿宋_GB2312" w:hAnsi="仿宋" w:eastAsia="仿宋_GB2312"/>
          <w:sz w:val="28"/>
          <w:szCs w:val="28"/>
        </w:rPr>
        <w:t>托管理财产品的种类</w:t>
      </w:r>
    </w:p>
    <w:p>
      <w:pPr>
        <w:pStyle w:val="18"/>
        <w:spacing w:before="0" w:after="0" w:line="520" w:lineRule="exact"/>
        <w:ind w:left="0" w:firstLine="560"/>
        <w:rPr>
          <w:rFonts w:ascii="仿宋_GB2312" w:hAnsi="仿宋" w:eastAsia="仿宋_GB2312"/>
          <w:sz w:val="28"/>
          <w:szCs w:val="28"/>
        </w:rPr>
      </w:pPr>
      <w:r>
        <w:rPr>
          <w:rFonts w:hint="eastAsia" w:ascii="仿宋_GB2312" w:hAnsi="仿宋" w:eastAsia="仿宋_GB2312"/>
          <w:sz w:val="28"/>
          <w:szCs w:val="28"/>
        </w:rPr>
        <w:t>托管理财产品的种类：甲方作为</w:t>
      </w:r>
      <w:r>
        <w:rPr>
          <w:rFonts w:ascii="仿宋_GB2312" w:hAnsi="仿宋" w:eastAsia="仿宋_GB2312"/>
          <w:sz w:val="28"/>
          <w:szCs w:val="28"/>
        </w:rPr>
        <w:t>管理人</w:t>
      </w:r>
      <w:r>
        <w:rPr>
          <w:rFonts w:hint="eastAsia" w:ascii="仿宋_GB2312" w:hAnsi="仿宋" w:eastAsia="仿宋_GB2312"/>
          <w:sz w:val="28"/>
          <w:szCs w:val="28"/>
        </w:rPr>
        <w:t>发行的</w:t>
      </w:r>
      <w:r>
        <w:rPr>
          <w:rFonts w:hint="eastAsia" w:ascii="仿宋" w:hAnsi="仿宋" w:eastAsia="仿宋"/>
          <w:sz w:val="28"/>
          <w:szCs w:val="28"/>
        </w:rPr>
        <w:t>并委托乙方托管的</w:t>
      </w:r>
      <w:r>
        <w:rPr>
          <w:rFonts w:hint="eastAsia" w:ascii="仿宋_GB2312" w:hAnsi="仿宋" w:eastAsia="仿宋_GB2312"/>
          <w:sz w:val="28"/>
          <w:szCs w:val="28"/>
        </w:rPr>
        <w:t>全部理财产品。</w:t>
      </w:r>
    </w:p>
    <w:p>
      <w:pPr>
        <w:pStyle w:val="18"/>
        <w:spacing w:before="0" w:after="0" w:line="520" w:lineRule="exact"/>
        <w:ind w:left="0" w:firstLine="560"/>
        <w:rPr>
          <w:rFonts w:ascii="仿宋_GB2312" w:hAnsi="仿宋" w:eastAsia="仿宋_GB2312"/>
          <w:sz w:val="28"/>
          <w:szCs w:val="28"/>
        </w:rPr>
      </w:pPr>
      <w:r>
        <w:rPr>
          <w:rFonts w:hint="eastAsia" w:ascii="仿宋_GB2312" w:hAnsi="仿宋" w:eastAsia="仿宋_GB2312"/>
          <w:sz w:val="28"/>
          <w:szCs w:val="28"/>
        </w:rPr>
        <w:t>托管理财产品的起始金额以理财产品成立日甲方划入理财产品托管账户中的金额为准。</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 xml:space="preserve">3.2 </w:t>
      </w:r>
      <w:r>
        <w:rPr>
          <w:rFonts w:hint="eastAsia" w:ascii="仿宋_GB2312" w:hAnsi="仿宋" w:eastAsia="仿宋_GB2312"/>
          <w:sz w:val="28"/>
          <w:szCs w:val="28"/>
        </w:rPr>
        <w:t>托管期限</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3.2.1每只</w:t>
      </w:r>
      <w:r>
        <w:rPr>
          <w:rFonts w:hint="eastAsia" w:ascii="仿宋_GB2312" w:hAnsi="仿宋" w:eastAsia="仿宋_GB2312"/>
          <w:sz w:val="28"/>
          <w:szCs w:val="28"/>
        </w:rPr>
        <w:t>理财产品托管期限自该只理财产品成立之日起</w:t>
      </w:r>
      <w:r>
        <w:rPr>
          <w:rFonts w:ascii="仿宋_GB2312" w:hAnsi="仿宋" w:eastAsia="仿宋_GB2312"/>
          <w:sz w:val="28"/>
          <w:szCs w:val="28"/>
        </w:rPr>
        <w:t>(产品成立日参照该只理财产品说明书)</w:t>
      </w:r>
      <w:r>
        <w:rPr>
          <w:rFonts w:hint="eastAsia" w:ascii="仿宋_GB2312" w:hAnsi="仿宋" w:eastAsia="仿宋_GB2312"/>
          <w:sz w:val="28"/>
          <w:szCs w:val="28"/>
        </w:rPr>
        <w:t>，至乙方按照本协议约定的托管职责解除之日止。</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3.2.2</w:t>
      </w:r>
      <w:r>
        <w:rPr>
          <w:rFonts w:hint="eastAsia" w:ascii="仿宋_GB2312" w:hAnsi="仿宋" w:eastAsia="仿宋_GB2312"/>
          <w:sz w:val="28"/>
          <w:szCs w:val="28"/>
        </w:rPr>
        <w:t>对于每一期理财产品而言，理财产品成立日，</w:t>
      </w:r>
      <w:r>
        <w:rPr>
          <w:rFonts w:ascii="仿宋_GB2312" w:hAnsi="仿宋" w:eastAsia="仿宋_GB2312"/>
          <w:sz w:val="28"/>
          <w:szCs w:val="28"/>
        </w:rPr>
        <w:t>由</w:t>
      </w:r>
      <w:r>
        <w:rPr>
          <w:rFonts w:hint="eastAsia" w:ascii="仿宋_GB2312" w:hAnsi="仿宋" w:eastAsia="仿宋_GB2312"/>
          <w:sz w:val="28"/>
          <w:szCs w:val="28"/>
        </w:rPr>
        <w:t>甲方</w:t>
      </w:r>
      <w:r>
        <w:rPr>
          <w:rFonts w:ascii="仿宋_GB2312" w:hAnsi="仿宋" w:eastAsia="仿宋_GB2312"/>
          <w:sz w:val="28"/>
          <w:szCs w:val="28"/>
        </w:rPr>
        <w:t>将</w:t>
      </w:r>
      <w:r>
        <w:rPr>
          <w:rFonts w:hint="eastAsia" w:ascii="仿宋_GB2312" w:hAnsi="仿宋" w:eastAsia="仿宋_GB2312"/>
          <w:sz w:val="28"/>
          <w:szCs w:val="28"/>
        </w:rPr>
        <w:t>理财产品的初始募集资金划入在乙方开立的该理财产品托管账户，理财产品的初始托管资金规模以乙方实际收到的托管资金为准，乙方收到托管资金后应及时向甲方邮件</w:t>
      </w:r>
      <w:r>
        <w:rPr>
          <w:rFonts w:ascii="仿宋_GB2312" w:hAnsi="仿宋" w:eastAsia="仿宋_GB2312"/>
          <w:sz w:val="28"/>
          <w:szCs w:val="28"/>
        </w:rPr>
        <w:t>回复</w:t>
      </w:r>
      <w:r>
        <w:rPr>
          <w:rFonts w:hint="eastAsia" w:ascii="仿宋_GB2312" w:hAnsi="仿宋" w:eastAsia="仿宋_GB2312"/>
          <w:sz w:val="28"/>
          <w:szCs w:val="28"/>
        </w:rPr>
        <w:t>托管资金到账</w:t>
      </w:r>
      <w:r>
        <w:rPr>
          <w:rFonts w:ascii="仿宋_GB2312" w:hAnsi="仿宋" w:eastAsia="仿宋_GB2312"/>
          <w:sz w:val="28"/>
          <w:szCs w:val="28"/>
        </w:rPr>
        <w:t>信息</w:t>
      </w:r>
      <w:r>
        <w:rPr>
          <w:rFonts w:hint="eastAsia" w:ascii="仿宋_GB2312" w:hAnsi="仿宋" w:eastAsia="仿宋_GB2312"/>
          <w:sz w:val="28"/>
          <w:szCs w:val="28"/>
        </w:rPr>
        <w:t>。</w:t>
      </w:r>
    </w:p>
    <w:p>
      <w:pPr>
        <w:pStyle w:val="18"/>
        <w:spacing w:before="0" w:after="0" w:line="520" w:lineRule="exact"/>
        <w:ind w:left="0" w:firstLine="560"/>
        <w:rPr>
          <w:rFonts w:ascii="仿宋" w:hAnsi="仿宋" w:eastAsia="仿宋"/>
          <w:sz w:val="28"/>
          <w:szCs w:val="28"/>
        </w:rPr>
      </w:pPr>
      <w:r>
        <w:rPr>
          <w:rFonts w:ascii="仿宋_GB2312" w:hAnsi="仿宋" w:eastAsia="仿宋_GB2312"/>
          <w:sz w:val="28"/>
          <w:szCs w:val="28"/>
        </w:rPr>
        <w:t>3.2.3</w:t>
      </w:r>
      <w:r>
        <w:rPr>
          <w:rFonts w:hint="eastAsia" w:ascii="仿宋_GB2312" w:hAnsi="仿宋" w:eastAsia="仿宋_GB2312"/>
          <w:sz w:val="28"/>
          <w:szCs w:val="28"/>
        </w:rPr>
        <w:t>乙方于理财资金到账之日起，按本协议约定履行理财产品的托管职责。</w:t>
      </w:r>
    </w:p>
    <w:p>
      <w:pPr>
        <w:pStyle w:val="3"/>
        <w:tabs>
          <w:tab w:val="left" w:pos="6779"/>
        </w:tabs>
        <w:spacing w:line="520" w:lineRule="exact"/>
        <w:ind w:firstLine="562"/>
        <w:rPr>
          <w:rFonts w:ascii="仿宋_GB2312" w:hAnsi="仿宋" w:eastAsia="仿宋_GB2312"/>
          <w:b w:val="0"/>
          <w:bCs/>
          <w:sz w:val="28"/>
          <w:szCs w:val="28"/>
        </w:rPr>
      </w:pPr>
      <w:r>
        <w:rPr>
          <w:rFonts w:hint="eastAsia" w:ascii="仿宋_GB2312" w:hAnsi="仿宋" w:eastAsia="仿宋_GB2312"/>
          <w:bCs/>
          <w:color w:val="auto"/>
          <w:sz w:val="28"/>
          <w:szCs w:val="28"/>
        </w:rPr>
        <w:t>第四条</w:t>
      </w:r>
      <w:r>
        <w:rPr>
          <w:rFonts w:ascii="仿宋_GB2312" w:hAnsi="仿宋" w:eastAsia="仿宋_GB2312"/>
          <w:bCs/>
          <w:color w:val="auto"/>
          <w:sz w:val="28"/>
          <w:szCs w:val="28"/>
        </w:rPr>
        <w:t xml:space="preserve">  </w:t>
      </w:r>
      <w:r>
        <w:rPr>
          <w:rFonts w:hint="eastAsia" w:ascii="仿宋_GB2312" w:hAnsi="仿宋" w:eastAsia="仿宋_GB2312"/>
          <w:bCs/>
          <w:color w:val="auto"/>
          <w:sz w:val="28"/>
          <w:szCs w:val="28"/>
        </w:rPr>
        <w:t>甲方的权利及义务</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4.1</w:t>
      </w:r>
      <w:r>
        <w:rPr>
          <w:rFonts w:hint="eastAsia" w:ascii="仿宋_GB2312" w:hAnsi="仿宋" w:eastAsia="仿宋_GB2312"/>
          <w:sz w:val="28"/>
          <w:szCs w:val="28"/>
        </w:rPr>
        <w:t>甲方的权利</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4.1.1</w:t>
      </w:r>
      <w:r>
        <w:rPr>
          <w:rFonts w:hint="eastAsia" w:ascii="仿宋_GB2312" w:hAnsi="仿宋" w:eastAsia="仿宋_GB2312"/>
          <w:sz w:val="28"/>
          <w:szCs w:val="28"/>
        </w:rPr>
        <w:t>甲方作为理财产品的管理人，有权按照有关法律法规的规定及理财文件的规定，依照诚实信用、勤勉尽职的原则，谨慎、有效管理理财产品财产。</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4.1.2</w:t>
      </w:r>
      <w:r>
        <w:rPr>
          <w:rFonts w:hint="eastAsia" w:ascii="仿宋_GB2312" w:hAnsi="仿宋" w:eastAsia="仿宋_GB2312"/>
          <w:sz w:val="28"/>
          <w:szCs w:val="28"/>
        </w:rPr>
        <w:t>根据理财文件的规定，制订并通知投资者有关理财产品认购、赎回、冻结、质押、收益分配等方面的业务规则。</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4.1.3</w:t>
      </w:r>
      <w:r>
        <w:rPr>
          <w:rFonts w:hint="eastAsia" w:ascii="仿宋_GB2312" w:hAnsi="仿宋" w:eastAsia="仿宋_GB2312"/>
          <w:sz w:val="28"/>
          <w:szCs w:val="28"/>
        </w:rPr>
        <w:t>按照国家有关法律法规及理财文件的规定获得理财产品管理费，收取或委托收取投资者认购费、申购费、赎回费及其他事先</w:t>
      </w:r>
      <w:r>
        <w:rPr>
          <w:rFonts w:ascii="仿宋_GB2312" w:hAnsi="仿宋" w:eastAsia="仿宋_GB2312"/>
          <w:sz w:val="28"/>
          <w:szCs w:val="28"/>
        </w:rPr>
        <w:t>与</w:t>
      </w:r>
      <w:r>
        <w:rPr>
          <w:rFonts w:hint="eastAsia" w:ascii="仿宋_GB2312" w:hAnsi="仿宋" w:eastAsia="仿宋_GB2312"/>
          <w:sz w:val="28"/>
          <w:szCs w:val="28"/>
        </w:rPr>
        <w:t>理财产品投资者约定的合理费用以及其他法律法规规定的费用。</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4.1.4</w:t>
      </w:r>
      <w:r>
        <w:rPr>
          <w:rFonts w:hint="eastAsia" w:ascii="仿宋_GB2312" w:hAnsi="仿宋" w:eastAsia="仿宋_GB2312"/>
          <w:sz w:val="28"/>
          <w:szCs w:val="28"/>
        </w:rPr>
        <w:t>根据理财产品文件规定销售或委托代理销售机构销售理财产品，决定收益分配方案。</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4.1.5</w:t>
      </w:r>
      <w:r>
        <w:rPr>
          <w:rFonts w:hint="eastAsia" w:ascii="仿宋_GB2312" w:hAnsi="仿宋" w:eastAsia="仿宋_GB2312"/>
          <w:sz w:val="28"/>
          <w:szCs w:val="28"/>
        </w:rPr>
        <w:t>有权监督乙方的托管行为。对乙方违反国家有关法律法规以及其他相关规定的托管行为，甲方有权以书面形式通知乙方，并要求乙方予以纠正。乙方无正当理由未及时纠正且其行为属于重大违法违规的，甲方有权向监管部门报告，由此引起的法律后果由乙方承担。</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4.1.6</w:t>
      </w:r>
      <w:r>
        <w:rPr>
          <w:rFonts w:hint="eastAsia" w:ascii="仿宋_GB2312" w:hAnsi="仿宋" w:eastAsia="仿宋_GB2312"/>
          <w:sz w:val="28"/>
          <w:szCs w:val="28"/>
        </w:rPr>
        <w:t>国家有关法律法规、监管机构规定的其它权利。</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4.2</w:t>
      </w:r>
      <w:r>
        <w:rPr>
          <w:rFonts w:hint="eastAsia" w:ascii="仿宋_GB2312" w:hAnsi="仿宋" w:eastAsia="仿宋_GB2312"/>
          <w:sz w:val="28"/>
          <w:szCs w:val="28"/>
        </w:rPr>
        <w:t>甲方的义务</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4.2.1</w:t>
      </w:r>
      <w:r>
        <w:rPr>
          <w:rFonts w:hint="eastAsia" w:ascii="仿宋_GB2312" w:hAnsi="仿宋" w:eastAsia="仿宋_GB2312"/>
          <w:sz w:val="28"/>
          <w:szCs w:val="28"/>
        </w:rPr>
        <w:t>依据法律法规和理财文件、本协议的规定，以诚实信用、勤勉尽责的原则管理运用理财财产。同时，甲方作为管理人有义务跟踪并监督理财资金投资运用的情况以及相关交易对手的履约情况，并对理财资金运用所依据的相关材料的真实性以及款项用途是否符合理财产品的要求进行审核。</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4.2.2</w:t>
      </w:r>
      <w:r>
        <w:rPr>
          <w:rFonts w:hint="eastAsia" w:ascii="仿宋_GB2312" w:hAnsi="仿宋" w:eastAsia="仿宋_GB2312"/>
          <w:sz w:val="28"/>
          <w:szCs w:val="28"/>
        </w:rPr>
        <w:t>甲方</w:t>
      </w:r>
      <w:r>
        <w:rPr>
          <w:rFonts w:ascii="仿宋_GB2312" w:hAnsi="仿宋" w:eastAsia="仿宋_GB2312"/>
          <w:sz w:val="28"/>
          <w:szCs w:val="28"/>
        </w:rPr>
        <w:t>应</w:t>
      </w:r>
      <w:r>
        <w:rPr>
          <w:rFonts w:hint="eastAsia" w:ascii="仿宋_GB2312" w:hAnsi="仿宋" w:eastAsia="仿宋_GB2312"/>
          <w:sz w:val="28"/>
          <w:szCs w:val="28"/>
        </w:rPr>
        <w:t>确保托管</w:t>
      </w:r>
      <w:r>
        <w:rPr>
          <w:rFonts w:ascii="仿宋_GB2312" w:hAnsi="仿宋" w:eastAsia="仿宋_GB2312"/>
          <w:sz w:val="28"/>
          <w:szCs w:val="28"/>
        </w:rPr>
        <w:t>的理财资金和</w:t>
      </w:r>
      <w:r>
        <w:rPr>
          <w:rFonts w:hint="eastAsia" w:ascii="仿宋_GB2312" w:hAnsi="仿宋" w:eastAsia="仿宋_GB2312"/>
          <w:sz w:val="28"/>
          <w:szCs w:val="28"/>
        </w:rPr>
        <w:t>甲</w:t>
      </w:r>
      <w:r>
        <w:rPr>
          <w:rFonts w:ascii="仿宋_GB2312" w:hAnsi="仿宋" w:eastAsia="仿宋_GB2312"/>
          <w:sz w:val="28"/>
          <w:szCs w:val="28"/>
        </w:rPr>
        <w:t>方自有</w:t>
      </w:r>
      <w:r>
        <w:rPr>
          <w:rFonts w:hint="eastAsia" w:ascii="仿宋_GB2312" w:hAnsi="仿宋" w:eastAsia="仿宋_GB2312"/>
          <w:sz w:val="28"/>
          <w:szCs w:val="28"/>
        </w:rPr>
        <w:t>资产之间相互</w:t>
      </w:r>
      <w:r>
        <w:rPr>
          <w:rFonts w:ascii="仿宋_GB2312" w:hAnsi="仿宋" w:eastAsia="仿宋_GB2312"/>
          <w:sz w:val="28"/>
          <w:szCs w:val="28"/>
        </w:rPr>
        <w:t>独立</w:t>
      </w:r>
      <w:r>
        <w:rPr>
          <w:rFonts w:hint="eastAsia" w:ascii="仿宋_GB2312" w:hAnsi="仿宋" w:eastAsia="仿宋_GB2312"/>
          <w:sz w:val="28"/>
          <w:szCs w:val="28"/>
        </w:rPr>
        <w:t>。</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4.2.3</w:t>
      </w:r>
      <w:r>
        <w:rPr>
          <w:rFonts w:hint="eastAsia" w:ascii="仿宋_GB2312" w:hAnsi="仿宋" w:eastAsia="仿宋_GB2312"/>
          <w:sz w:val="28"/>
          <w:szCs w:val="28"/>
        </w:rPr>
        <w:t>甲方根据国家法律法规、理财文件及本协议的约定，向乙方提供理财资金托管业务所需要的各项授权文件和资料，并保证向乙方提供的文件资料完整、真实、合法、准确，没有任何重大遗漏或误导。</w:t>
      </w:r>
      <w:r>
        <w:rPr>
          <w:rFonts w:ascii="仿宋_GB2312" w:hAnsi="仿宋" w:eastAsia="仿宋_GB2312"/>
          <w:sz w:val="28"/>
          <w:szCs w:val="28"/>
        </w:rPr>
        <w:t xml:space="preserve"> </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4.2.4</w:t>
      </w:r>
      <w:r>
        <w:rPr>
          <w:rFonts w:hint="eastAsia" w:ascii="仿宋_GB2312" w:hAnsi="仿宋" w:eastAsia="仿宋_GB2312"/>
          <w:sz w:val="28"/>
          <w:szCs w:val="28"/>
        </w:rPr>
        <w:t>甲方根据业务需要从资金账户向外划款时，主动发起划款申请，对电子或纸质划款指令审核后发送乙方，纸质划款指令需要甲方有权签字人签字（印鉴签字样本见附件二），甲方应保证所出具的划款指令真实、合法、有效、完整、准确，不存在重大遗漏和误导。</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4.2.5</w:t>
      </w:r>
      <w:r>
        <w:rPr>
          <w:rFonts w:hint="eastAsia" w:ascii="仿宋_GB2312" w:hAnsi="仿宋" w:eastAsia="仿宋_GB2312"/>
          <w:sz w:val="28"/>
          <w:szCs w:val="28"/>
        </w:rPr>
        <w:t>为理财资金向乙方申请开立理财产品托管账户，并按相应的理财文件及本协议约定将理财资金划至理财产品托管账户。甲方应将其通过本理财产品募集的全部理财资金分别划入该等理财产品对应的托管账户。</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4.2.6按照法律法规规定和监管要求</w:t>
      </w:r>
      <w:r>
        <w:rPr>
          <w:rFonts w:hint="eastAsia" w:ascii="仿宋_GB2312" w:hAnsi="仿宋" w:eastAsia="仿宋_GB2312"/>
          <w:sz w:val="28"/>
          <w:szCs w:val="28"/>
        </w:rPr>
        <w:t>，完整保存每只理财产品业务活动的全部资料。</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4.2.7</w:t>
      </w:r>
      <w:r>
        <w:rPr>
          <w:rFonts w:hint="eastAsia" w:ascii="仿宋_GB2312" w:hAnsi="仿宋" w:eastAsia="仿宋_GB2312"/>
          <w:sz w:val="28"/>
          <w:szCs w:val="28"/>
        </w:rPr>
        <w:t>按产品说明书及时足额以理财</w:t>
      </w:r>
      <w:r>
        <w:rPr>
          <w:rFonts w:ascii="仿宋_GB2312" w:hAnsi="仿宋" w:eastAsia="仿宋_GB2312"/>
          <w:sz w:val="28"/>
          <w:szCs w:val="28"/>
        </w:rPr>
        <w:t>产品</w:t>
      </w:r>
      <w:r>
        <w:rPr>
          <w:rFonts w:hint="eastAsia" w:ascii="仿宋_GB2312" w:hAnsi="仿宋" w:eastAsia="仿宋_GB2312"/>
          <w:sz w:val="28"/>
          <w:szCs w:val="28"/>
        </w:rPr>
        <w:t>财产为限</w:t>
      </w:r>
      <w:r>
        <w:rPr>
          <w:rFonts w:ascii="仿宋_GB2312" w:hAnsi="仿宋" w:eastAsia="仿宋_GB2312"/>
          <w:sz w:val="28"/>
          <w:szCs w:val="28"/>
        </w:rPr>
        <w:t>承担</w:t>
      </w:r>
      <w:r>
        <w:rPr>
          <w:rFonts w:hint="eastAsia" w:ascii="仿宋_GB2312" w:hAnsi="仿宋" w:eastAsia="仿宋_GB2312"/>
          <w:sz w:val="28"/>
          <w:szCs w:val="28"/>
        </w:rPr>
        <w:t>对应</w:t>
      </w:r>
      <w:r>
        <w:rPr>
          <w:rFonts w:ascii="仿宋_GB2312" w:hAnsi="仿宋" w:eastAsia="仿宋_GB2312"/>
          <w:sz w:val="28"/>
          <w:szCs w:val="28"/>
        </w:rPr>
        <w:t>产品的</w:t>
      </w:r>
      <w:r>
        <w:rPr>
          <w:rFonts w:hint="eastAsia" w:ascii="仿宋_GB2312" w:hAnsi="仿宋" w:eastAsia="仿宋_GB2312"/>
          <w:sz w:val="28"/>
          <w:szCs w:val="28"/>
        </w:rPr>
        <w:t>托管费。</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4.2.8</w:t>
      </w:r>
      <w:r>
        <w:rPr>
          <w:rFonts w:hint="eastAsia" w:ascii="仿宋_GB2312" w:hAnsi="仿宋" w:eastAsia="仿宋_GB2312"/>
          <w:sz w:val="28"/>
          <w:szCs w:val="28"/>
        </w:rPr>
        <w:t>按法律法规规定和理财文件约定及时向投资者披露每只理财产品管理定期报告和每只理财产品资金运用及收益情况表、清算报告等。</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4.2.9</w:t>
      </w:r>
      <w:r>
        <w:rPr>
          <w:rFonts w:hint="eastAsia" w:ascii="仿宋_GB2312" w:hAnsi="仿宋" w:eastAsia="仿宋_GB2312"/>
          <w:sz w:val="28"/>
          <w:szCs w:val="28"/>
        </w:rPr>
        <w:t>按照理财产品说明书披露每只理财产品的净值。</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4.2.10</w:t>
      </w:r>
      <w:r>
        <w:rPr>
          <w:rFonts w:hint="eastAsia" w:ascii="仿宋_GB2312" w:hAnsi="仿宋" w:eastAsia="仿宋_GB2312"/>
          <w:sz w:val="28"/>
          <w:szCs w:val="28"/>
        </w:rPr>
        <w:t>按约定方式及时间，向乙方发送产品、账户、交易等信息，提供相关凭证、合同、文本等，并对其完整性、真实性和准确性负责。</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4.2.11</w:t>
      </w:r>
      <w:r>
        <w:rPr>
          <w:rFonts w:hint="eastAsia" w:ascii="仿宋_GB2312" w:hAnsi="仿宋" w:eastAsia="仿宋_GB2312"/>
          <w:sz w:val="28"/>
          <w:szCs w:val="28"/>
        </w:rPr>
        <w:t>发生任何可能导致理财产品业务性质或范围发生重大变化或直接影响托管业务的重大事项时，须提前通知乙方。</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4.2.12</w:t>
      </w:r>
      <w:r>
        <w:rPr>
          <w:rFonts w:hint="eastAsia" w:ascii="仿宋_GB2312" w:hAnsi="仿宋" w:eastAsia="仿宋_GB2312"/>
          <w:sz w:val="28"/>
          <w:szCs w:val="28"/>
        </w:rPr>
        <w:t>因甲方原因导致理财资金被非法挪用、提取或用于质押的，视为甲方违约。甲方须在【</w:t>
      </w:r>
      <w:r>
        <w:rPr>
          <w:rFonts w:ascii="仿宋_GB2312" w:hAnsi="仿宋" w:eastAsia="仿宋_GB2312"/>
          <w:sz w:val="28"/>
          <w:szCs w:val="28"/>
        </w:rPr>
        <w:t>3</w:t>
      </w:r>
      <w:r>
        <w:rPr>
          <w:rFonts w:hint="eastAsia" w:ascii="仿宋_GB2312" w:hAnsi="仿宋" w:eastAsia="仿宋_GB2312"/>
          <w:sz w:val="28"/>
          <w:szCs w:val="28"/>
        </w:rPr>
        <w:t>】个工作日内归还至理财产品托管账户。对理财产品财产造成损失的，甲方须承担赔偿责任。</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4.2.13</w:t>
      </w:r>
      <w:r>
        <w:rPr>
          <w:rFonts w:hint="eastAsia" w:ascii="仿宋_GB2312" w:hAnsi="仿宋" w:eastAsia="仿宋_GB2312"/>
          <w:sz w:val="28"/>
          <w:szCs w:val="28"/>
        </w:rPr>
        <w:t>违反法律法规和理财产品文件约定管理理财产品财产，致使理财产品财产损失或损害投资者的合法权益，以甲方自有财产承担赔偿责任，其赔偿责任不因其解任或辞任而免除。</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4.2.14</w:t>
      </w:r>
      <w:r>
        <w:rPr>
          <w:rFonts w:hint="eastAsia" w:ascii="仿宋_GB2312" w:hAnsi="仿宋" w:eastAsia="仿宋_GB2312"/>
          <w:sz w:val="28"/>
          <w:szCs w:val="28"/>
        </w:rPr>
        <w:t>甲方依据法律法规、理财产品文件的约定管理理财资金，有义务接受乙方的监督。甲方接受乙方对理财资金运作情况的查询并按照乙方的要求及时反馈相关信息。</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4.2.15</w:t>
      </w:r>
      <w:r>
        <w:rPr>
          <w:rFonts w:hint="eastAsia" w:ascii="仿宋_GB2312" w:hAnsi="仿宋" w:eastAsia="仿宋_GB2312"/>
          <w:sz w:val="28"/>
          <w:szCs w:val="28"/>
        </w:rPr>
        <w:t>甲方定期与乙方进行理财</w:t>
      </w:r>
      <w:r>
        <w:rPr>
          <w:rFonts w:ascii="仿宋_GB2312" w:hAnsi="仿宋" w:eastAsia="仿宋_GB2312"/>
          <w:sz w:val="28"/>
          <w:szCs w:val="28"/>
        </w:rPr>
        <w:t>产品账务核对</w:t>
      </w:r>
      <w:r>
        <w:rPr>
          <w:rFonts w:hint="eastAsia" w:ascii="仿宋_GB2312" w:hAnsi="仿宋" w:eastAsia="仿宋_GB2312"/>
          <w:sz w:val="28"/>
          <w:szCs w:val="28"/>
        </w:rPr>
        <w:t>。</w:t>
      </w:r>
    </w:p>
    <w:p>
      <w:pPr>
        <w:pStyle w:val="18"/>
        <w:spacing w:before="0" w:after="0" w:line="520" w:lineRule="exact"/>
        <w:ind w:left="0" w:firstLine="560"/>
      </w:pPr>
      <w:r>
        <w:rPr>
          <w:rFonts w:ascii="仿宋_GB2312" w:hAnsi="仿宋" w:eastAsia="仿宋_GB2312"/>
          <w:sz w:val="28"/>
          <w:szCs w:val="28"/>
        </w:rPr>
        <w:t>4.2.16</w:t>
      </w:r>
      <w:r>
        <w:rPr>
          <w:rFonts w:hint="eastAsia" w:ascii="仿宋_GB2312" w:hAnsi="仿宋" w:eastAsia="仿宋_GB2312"/>
          <w:sz w:val="28"/>
          <w:szCs w:val="28"/>
        </w:rPr>
        <w:t>国家有关法律法规、监管机构规定的其它义务。</w:t>
      </w:r>
    </w:p>
    <w:p>
      <w:pPr>
        <w:pStyle w:val="3"/>
        <w:tabs>
          <w:tab w:val="left" w:pos="6779"/>
        </w:tabs>
        <w:spacing w:line="520" w:lineRule="exact"/>
        <w:ind w:firstLine="562"/>
        <w:rPr>
          <w:rFonts w:ascii="仿宋_GB2312" w:hAnsi="仿宋" w:eastAsia="仿宋_GB2312"/>
          <w:bCs/>
          <w:color w:val="auto"/>
          <w:sz w:val="28"/>
          <w:szCs w:val="28"/>
        </w:rPr>
      </w:pPr>
      <w:r>
        <w:rPr>
          <w:rFonts w:hint="eastAsia" w:ascii="仿宋_GB2312" w:hAnsi="仿宋" w:eastAsia="仿宋_GB2312"/>
          <w:bCs/>
          <w:color w:val="auto"/>
          <w:sz w:val="28"/>
          <w:szCs w:val="28"/>
        </w:rPr>
        <w:t>第五条</w:t>
      </w:r>
      <w:r>
        <w:rPr>
          <w:rFonts w:ascii="仿宋_GB2312" w:hAnsi="仿宋" w:eastAsia="仿宋_GB2312"/>
          <w:bCs/>
          <w:color w:val="auto"/>
          <w:sz w:val="28"/>
          <w:szCs w:val="28"/>
        </w:rPr>
        <w:t xml:space="preserve">  </w:t>
      </w:r>
      <w:r>
        <w:rPr>
          <w:rFonts w:hint="eastAsia" w:ascii="仿宋_GB2312" w:hAnsi="仿宋" w:eastAsia="仿宋_GB2312"/>
          <w:bCs/>
          <w:color w:val="auto"/>
          <w:sz w:val="28"/>
          <w:szCs w:val="28"/>
        </w:rPr>
        <w:t>乙方的权利义务</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5.1</w:t>
      </w:r>
      <w:r>
        <w:rPr>
          <w:rFonts w:hint="eastAsia" w:ascii="仿宋_GB2312" w:hAnsi="仿宋" w:eastAsia="仿宋_GB2312"/>
          <w:sz w:val="28"/>
          <w:szCs w:val="28"/>
        </w:rPr>
        <w:t>乙方的权利</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5.1.1</w:t>
      </w:r>
      <w:r>
        <w:rPr>
          <w:rFonts w:hint="eastAsia" w:ascii="仿宋_GB2312" w:hAnsi="仿宋" w:eastAsia="仿宋_GB2312"/>
          <w:sz w:val="28"/>
          <w:szCs w:val="28"/>
        </w:rPr>
        <w:t>按照本协议约定收取托管费。</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5.1.2</w:t>
      </w:r>
      <w:r>
        <w:rPr>
          <w:rFonts w:hint="eastAsia" w:ascii="仿宋_GB2312" w:hAnsi="仿宋" w:eastAsia="仿宋_GB2312"/>
          <w:sz w:val="28"/>
          <w:szCs w:val="28"/>
        </w:rPr>
        <w:t>接受甲方申请按照规定开立理财产品托管账户。</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5.1.3</w:t>
      </w:r>
      <w:r>
        <w:rPr>
          <w:rFonts w:hint="eastAsia" w:ascii="仿宋_GB2312" w:hAnsi="仿宋" w:eastAsia="仿宋_GB2312"/>
          <w:sz w:val="28"/>
          <w:szCs w:val="28"/>
        </w:rPr>
        <w:t>按照本协议及理财产品文件的规定管理理财资金账户，按照本协议及理财产品文件的规定保管理财产品相关</w:t>
      </w:r>
      <w:r>
        <w:rPr>
          <w:rFonts w:ascii="仿宋_GB2312" w:hAnsi="仿宋" w:eastAsia="仿宋_GB2312"/>
          <w:sz w:val="28"/>
          <w:szCs w:val="28"/>
        </w:rPr>
        <w:t>的</w:t>
      </w:r>
      <w:r>
        <w:rPr>
          <w:rFonts w:hint="eastAsia" w:ascii="仿宋_GB2312" w:hAnsi="仿宋" w:eastAsia="仿宋_GB2312"/>
          <w:sz w:val="28"/>
          <w:szCs w:val="28"/>
        </w:rPr>
        <w:t>电子</w:t>
      </w:r>
      <w:r>
        <w:rPr>
          <w:rFonts w:ascii="仿宋_GB2312" w:hAnsi="仿宋" w:eastAsia="仿宋_GB2312"/>
          <w:sz w:val="28"/>
          <w:szCs w:val="28"/>
        </w:rPr>
        <w:t>和书面</w:t>
      </w:r>
      <w:r>
        <w:rPr>
          <w:rFonts w:hint="eastAsia" w:ascii="仿宋_GB2312" w:hAnsi="仿宋" w:eastAsia="仿宋_GB2312"/>
          <w:sz w:val="28"/>
          <w:szCs w:val="28"/>
        </w:rPr>
        <w:t>交易依据（或复印件）。</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 xml:space="preserve">5.1.4 </w:t>
      </w:r>
      <w:r>
        <w:rPr>
          <w:rFonts w:hint="eastAsia" w:ascii="仿宋_GB2312" w:hAnsi="仿宋" w:eastAsia="仿宋_GB2312"/>
          <w:sz w:val="28"/>
          <w:szCs w:val="28"/>
        </w:rPr>
        <w:t>对甲方的资金划拨行使审核权，即对甲方提供的交易依据和划款指令书进行表面一致性审查，审核划款指令书及被授权人签字与授权通知书中及签字样本是否相符，审核划款指令书中的资金用途说明是否与所提供的交易依据一致。对于核对不一致的划款指令，乙方有权通知甲方予以更正，在甲方更正之前乙方有权不执行该划款指令，由此产生的法律后果由甲方承担。</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5.1.5</w:t>
      </w:r>
      <w:r>
        <w:rPr>
          <w:rFonts w:hint="eastAsia" w:ascii="仿宋_GB2312" w:hAnsi="仿宋" w:eastAsia="仿宋_GB2312"/>
          <w:sz w:val="28"/>
          <w:szCs w:val="28"/>
        </w:rPr>
        <w:t>要求甲方对其履行托管职责进行必要的协助。</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5.1.6</w:t>
      </w:r>
      <w:r>
        <w:rPr>
          <w:rFonts w:hint="eastAsia" w:ascii="仿宋_GB2312" w:hAnsi="仿宋" w:eastAsia="仿宋_GB2312"/>
          <w:sz w:val="28"/>
          <w:szCs w:val="28"/>
        </w:rPr>
        <w:t>国家有关法律法规、监管机构规定的其它权利。</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5.2</w:t>
      </w:r>
      <w:r>
        <w:rPr>
          <w:rFonts w:hint="eastAsia" w:ascii="仿宋_GB2312" w:hAnsi="仿宋" w:eastAsia="仿宋_GB2312"/>
          <w:sz w:val="28"/>
          <w:szCs w:val="28"/>
        </w:rPr>
        <w:t>乙方的义务</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5.2.1</w:t>
      </w:r>
      <w:r>
        <w:rPr>
          <w:rFonts w:hint="eastAsia" w:ascii="仿宋_GB2312" w:hAnsi="仿宋" w:eastAsia="仿宋_GB2312"/>
          <w:sz w:val="28"/>
          <w:szCs w:val="28"/>
        </w:rPr>
        <w:t>确保所托管的理财财产和乙方自有资产、其他托管资产之间相互独立。</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5.2.2</w:t>
      </w:r>
      <w:r>
        <w:rPr>
          <w:rFonts w:hint="eastAsia" w:ascii="仿宋_GB2312" w:hAnsi="仿宋" w:eastAsia="仿宋_GB2312"/>
          <w:sz w:val="28"/>
          <w:szCs w:val="28"/>
        </w:rPr>
        <w:t>未经甲方书面同意，对托管的理财资金不得转由第三人进行托管或擅自动用或处分理财资金。</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5.2.3</w:t>
      </w:r>
      <w:r>
        <w:rPr>
          <w:rFonts w:hint="eastAsia" w:ascii="仿宋_GB2312" w:hAnsi="仿宋" w:eastAsia="仿宋_GB2312"/>
          <w:sz w:val="28"/>
          <w:szCs w:val="28"/>
        </w:rPr>
        <w:t>按照法律法规、本协议和理财产品文件的规定，对理财资金及其所投资的资产进行托管业务承办。</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 xml:space="preserve">5.2.4 </w:t>
      </w:r>
      <w:r>
        <w:rPr>
          <w:rFonts w:hint="eastAsia" w:ascii="仿宋_GB2312" w:hAnsi="仿宋" w:eastAsia="仿宋_GB2312"/>
          <w:sz w:val="28"/>
          <w:szCs w:val="28"/>
        </w:rPr>
        <w:t>根据法律法规和本协议的约定安全托管理财资金。</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5.2.5</w:t>
      </w:r>
      <w:r>
        <w:rPr>
          <w:rFonts w:hint="eastAsia" w:ascii="仿宋_GB2312" w:hAnsi="仿宋" w:eastAsia="仿宋_GB2312"/>
          <w:sz w:val="28"/>
          <w:szCs w:val="28"/>
        </w:rPr>
        <w:t>按照本协议的规定，执行甲方符合法律法规及本协议约定的划款指令书，按时办理理财资金划付，完成本协议规定的清算交收和费用支付，不得延误，向甲方及时反馈划款指令清算结果和交收结果。</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5.2.6</w:t>
      </w:r>
      <w:r>
        <w:rPr>
          <w:rFonts w:hint="eastAsia" w:ascii="仿宋_GB2312" w:hAnsi="仿宋" w:eastAsia="仿宋_GB2312"/>
          <w:sz w:val="28"/>
          <w:szCs w:val="28"/>
        </w:rPr>
        <w:t>因乙方原因导致理财资金被非法挪用、提取或用于质押的，视为乙方违约。乙方须在</w:t>
      </w:r>
      <w:r>
        <w:rPr>
          <w:rFonts w:ascii="仿宋_GB2312" w:hAnsi="仿宋" w:eastAsia="仿宋_GB2312"/>
          <w:sz w:val="28"/>
          <w:szCs w:val="28"/>
        </w:rPr>
        <w:t>3</w:t>
      </w:r>
      <w:r>
        <w:rPr>
          <w:rFonts w:hint="eastAsia" w:ascii="仿宋_GB2312" w:hAnsi="仿宋" w:eastAsia="仿宋_GB2312"/>
          <w:sz w:val="28"/>
          <w:szCs w:val="28"/>
        </w:rPr>
        <w:t>个工作日内将资金归还至理财产品托管账户。对理财产品财产造成损失的，乙方须承担赔偿责任。</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5.2.7</w:t>
      </w:r>
      <w:r>
        <w:rPr>
          <w:rFonts w:hint="eastAsia" w:ascii="仿宋_GB2312" w:hAnsi="仿宋" w:eastAsia="仿宋_GB2312"/>
          <w:sz w:val="28"/>
          <w:szCs w:val="28"/>
        </w:rPr>
        <w:t>违反法律法规、本协议和理财产品文件约定托管理财产品财产，致使理财产品财产损失或损害投资者的合法权益，以乙方自有财产承担赔偿责任，其赔偿责任不因其解任或辞任而免除。</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5.2.8</w:t>
      </w:r>
      <w:r>
        <w:rPr>
          <w:rFonts w:hint="eastAsia" w:ascii="仿宋_GB2312" w:hAnsi="仿宋" w:eastAsia="仿宋_GB2312"/>
          <w:sz w:val="28"/>
          <w:szCs w:val="28"/>
        </w:rPr>
        <w:t>按照本协议的规定，为理财产品设立会计套账，按甲、乙双方约定的方法进行资金清算和账务处理。</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5.2.9</w:t>
      </w:r>
      <w:r>
        <w:rPr>
          <w:rFonts w:hint="eastAsia" w:ascii="仿宋_GB2312" w:hAnsi="仿宋" w:eastAsia="仿宋_GB2312"/>
          <w:sz w:val="28"/>
          <w:szCs w:val="28"/>
        </w:rPr>
        <w:t>按照法律法规、本协议及理财产品文件的约定根据</w:t>
      </w:r>
      <w:r>
        <w:rPr>
          <w:rFonts w:ascii="仿宋_GB2312" w:hAnsi="仿宋" w:eastAsia="仿宋_GB2312"/>
          <w:sz w:val="28"/>
          <w:szCs w:val="28"/>
        </w:rPr>
        <w:t>需要</w:t>
      </w:r>
      <w:r>
        <w:rPr>
          <w:rFonts w:hint="eastAsia" w:ascii="仿宋_GB2312" w:hAnsi="仿宋" w:eastAsia="仿宋_GB2312"/>
          <w:sz w:val="28"/>
          <w:szCs w:val="28"/>
        </w:rPr>
        <w:t>向甲方出具理财产品的托管报告。</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5.2.10</w:t>
      </w:r>
      <w:r>
        <w:rPr>
          <w:rFonts w:hint="eastAsia" w:ascii="仿宋_GB2312" w:hAnsi="仿宋" w:eastAsia="仿宋_GB2312"/>
          <w:sz w:val="28"/>
          <w:szCs w:val="28"/>
        </w:rPr>
        <w:t>核实理财产品管理运用中需要由甲方负责的信息披露内容中与理财产品托管业务相关的财务数据，包括复核甲方核算理财产品清算报告（如有）。理财产品的会计核算应依据相关规定执行。</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5.2.11</w:t>
      </w:r>
      <w:r>
        <w:rPr>
          <w:rFonts w:hint="eastAsia" w:ascii="仿宋_GB2312" w:hAnsi="仿宋" w:eastAsia="仿宋_GB2312"/>
          <w:sz w:val="28"/>
          <w:szCs w:val="28"/>
        </w:rPr>
        <w:t>保存托管业务活动的各种交易依据以及其他相关资料，保存期为至理财产品终止之日起</w:t>
      </w:r>
      <w:r>
        <w:rPr>
          <w:rFonts w:ascii="仿宋_GB2312" w:hAnsi="仿宋" w:eastAsia="仿宋_GB2312"/>
          <w:sz w:val="28"/>
          <w:szCs w:val="28"/>
        </w:rPr>
        <w:t>15</w:t>
      </w:r>
      <w:r>
        <w:rPr>
          <w:rFonts w:hint="eastAsia" w:ascii="仿宋_GB2312" w:hAnsi="仿宋" w:eastAsia="仿宋_GB2312"/>
          <w:sz w:val="28"/>
          <w:szCs w:val="28"/>
        </w:rPr>
        <w:t>年。</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5.2.12</w:t>
      </w:r>
      <w:r>
        <w:rPr>
          <w:rFonts w:hint="eastAsia" w:ascii="仿宋_GB2312" w:hAnsi="仿宋" w:eastAsia="仿宋_GB2312"/>
          <w:sz w:val="28"/>
          <w:szCs w:val="28"/>
        </w:rPr>
        <w:t>理财产品终止后，监督甲方按理财产品文件的约定进行清算，核实收益分配方案（如有）中与理财产品托管业务相关的财务数据。</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5.2.13</w:t>
      </w:r>
      <w:r>
        <w:rPr>
          <w:rFonts w:hint="eastAsia" w:ascii="仿宋_GB2312" w:hAnsi="仿宋" w:eastAsia="仿宋_GB2312"/>
          <w:sz w:val="28"/>
          <w:szCs w:val="28"/>
        </w:rPr>
        <w:t>对于涉及托管人参与签署的各类协议，托管人应根据相关要求进行面签。</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5.2.14</w:t>
      </w:r>
      <w:r>
        <w:rPr>
          <w:rFonts w:hint="eastAsia" w:ascii="仿宋_GB2312" w:hAnsi="仿宋" w:eastAsia="仿宋_GB2312"/>
          <w:sz w:val="28"/>
          <w:szCs w:val="28"/>
        </w:rPr>
        <w:t>如管理人有需要的，托管人应根据管理人要求及时提供资金账户和资产账户的资金明细、资金余额等信息，并对其完整性、真实性和准确性负责。</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5.2.15</w:t>
      </w:r>
      <w:r>
        <w:rPr>
          <w:rFonts w:hint="eastAsia" w:ascii="仿宋_GB2312" w:hAnsi="仿宋" w:eastAsia="仿宋_GB2312"/>
          <w:sz w:val="28"/>
          <w:szCs w:val="28"/>
        </w:rPr>
        <w:t>托管人</w:t>
      </w:r>
      <w:r>
        <w:rPr>
          <w:rFonts w:ascii="仿宋_GB2312" w:hAnsi="仿宋" w:eastAsia="仿宋_GB2312"/>
          <w:sz w:val="28"/>
          <w:szCs w:val="28"/>
        </w:rPr>
        <w:t>每日</w:t>
      </w:r>
      <w:r>
        <w:rPr>
          <w:rFonts w:hint="eastAsia" w:ascii="仿宋_GB2312" w:hAnsi="仿宋" w:eastAsia="仿宋_GB2312"/>
          <w:sz w:val="28"/>
          <w:szCs w:val="28"/>
        </w:rPr>
        <w:t>对</w:t>
      </w:r>
      <w:r>
        <w:rPr>
          <w:rFonts w:ascii="仿宋_GB2312" w:hAnsi="仿宋" w:eastAsia="仿宋_GB2312"/>
          <w:sz w:val="28"/>
          <w:szCs w:val="28"/>
        </w:rPr>
        <w:t>资金账户的资金余额进行</w:t>
      </w:r>
      <w:r>
        <w:rPr>
          <w:rFonts w:hint="eastAsia" w:ascii="仿宋_GB2312" w:hAnsi="仿宋" w:eastAsia="仿宋_GB2312"/>
          <w:sz w:val="28"/>
          <w:szCs w:val="28"/>
        </w:rPr>
        <w:t>账</w:t>
      </w:r>
      <w:r>
        <w:rPr>
          <w:rFonts w:ascii="仿宋_GB2312" w:hAnsi="仿宋" w:eastAsia="仿宋_GB2312"/>
          <w:sz w:val="28"/>
          <w:szCs w:val="28"/>
        </w:rPr>
        <w:t>实核对</w:t>
      </w:r>
      <w:r>
        <w:rPr>
          <w:rFonts w:hint="eastAsia" w:ascii="仿宋_GB2312" w:hAnsi="仿宋" w:eastAsia="仿宋_GB2312"/>
          <w:sz w:val="28"/>
          <w:szCs w:val="28"/>
        </w:rPr>
        <w:t>，</w:t>
      </w:r>
      <w:r>
        <w:rPr>
          <w:rFonts w:ascii="仿宋_GB2312" w:hAnsi="仿宋" w:eastAsia="仿宋_GB2312"/>
          <w:sz w:val="28"/>
          <w:szCs w:val="28"/>
        </w:rPr>
        <w:t>及时将资金账户发生的费用通知</w:t>
      </w:r>
      <w:r>
        <w:rPr>
          <w:rFonts w:hint="eastAsia" w:ascii="仿宋_GB2312" w:hAnsi="仿宋" w:eastAsia="仿宋_GB2312"/>
          <w:sz w:val="28"/>
          <w:szCs w:val="28"/>
        </w:rPr>
        <w:t>管理人</w:t>
      </w:r>
      <w:r>
        <w:rPr>
          <w:rFonts w:ascii="仿宋_GB2312" w:hAnsi="仿宋" w:eastAsia="仿宋_GB2312"/>
          <w:sz w:val="28"/>
          <w:szCs w:val="28"/>
        </w:rPr>
        <w:t>。</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5.2.16</w:t>
      </w:r>
      <w:r>
        <w:rPr>
          <w:rFonts w:hint="eastAsia" w:ascii="仿宋_GB2312" w:hAnsi="仿宋" w:eastAsia="仿宋_GB2312"/>
          <w:sz w:val="28"/>
          <w:szCs w:val="28"/>
        </w:rPr>
        <w:t>托管人应建立快速且有效的机制，确保中债登</w:t>
      </w:r>
      <w:r>
        <w:rPr>
          <w:rFonts w:ascii="仿宋_GB2312" w:hAnsi="仿宋" w:eastAsia="仿宋_GB2312"/>
          <w:sz w:val="28"/>
          <w:szCs w:val="28"/>
        </w:rPr>
        <w:t>/</w:t>
      </w:r>
      <w:r>
        <w:rPr>
          <w:rFonts w:hint="eastAsia" w:ascii="仿宋_GB2312" w:hAnsi="仿宋" w:eastAsia="仿宋_GB2312"/>
          <w:sz w:val="28"/>
          <w:szCs w:val="28"/>
        </w:rPr>
        <w:t>上清所</w:t>
      </w:r>
      <w:r>
        <w:rPr>
          <w:rFonts w:ascii="仿宋_GB2312" w:hAnsi="仿宋" w:eastAsia="仿宋_GB2312"/>
          <w:sz w:val="28"/>
          <w:szCs w:val="28"/>
        </w:rPr>
        <w:t>/</w:t>
      </w:r>
      <w:r>
        <w:rPr>
          <w:rFonts w:hint="eastAsia" w:ascii="仿宋_GB2312" w:hAnsi="仿宋" w:eastAsia="仿宋_GB2312"/>
          <w:sz w:val="28"/>
          <w:szCs w:val="28"/>
        </w:rPr>
        <w:t>交易所等资金账户的应急回款流程通畅。</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5.2.17</w:t>
      </w:r>
      <w:r>
        <w:rPr>
          <w:rFonts w:hint="eastAsia" w:ascii="仿宋_GB2312" w:hAnsi="仿宋" w:eastAsia="仿宋_GB2312"/>
          <w:sz w:val="28"/>
          <w:szCs w:val="28"/>
          <w:lang w:val="en-US" w:eastAsia="zh-CN"/>
        </w:rPr>
        <w:t xml:space="preserve"> </w:t>
      </w:r>
      <w:r>
        <w:rPr>
          <w:rFonts w:hint="eastAsia" w:ascii="仿宋_GB2312" w:hAnsi="仿宋" w:eastAsia="仿宋_GB2312"/>
          <w:sz w:val="28"/>
          <w:szCs w:val="28"/>
        </w:rPr>
        <w:t>乙方应向甲方提供关联方名单，包括但不限于主要股东、实际控制人、一致行动人、最终受益人、乙方控股的机构、与乙方有重大利害关系的机构等。</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 xml:space="preserve">5.2.18 </w:t>
      </w:r>
      <w:r>
        <w:rPr>
          <w:rFonts w:hint="eastAsia"/>
          <w:lang w:val="en-US" w:eastAsia="zh-CN"/>
        </w:rPr>
        <w:t xml:space="preserve"> </w:t>
      </w:r>
      <w:r>
        <w:rPr>
          <w:rFonts w:ascii="仿宋_GB2312" w:hAnsi="仿宋" w:eastAsia="仿宋_GB2312"/>
          <w:sz w:val="28"/>
          <w:szCs w:val="28"/>
        </w:rPr>
        <w:t>乙方应至少对理财产品过往业绩全部的字段类型及其计算公式进行复核确认</w:t>
      </w:r>
      <w:r>
        <w:rPr>
          <w:rFonts w:hint="eastAsia" w:ascii="仿宋_GB2312" w:hAnsi="仿宋" w:eastAsia="仿宋_GB2312"/>
          <w:sz w:val="28"/>
          <w:szCs w:val="28"/>
        </w:rPr>
        <w:t>。</w:t>
      </w:r>
      <w:r>
        <w:rPr>
          <w:rFonts w:ascii="仿宋_GB2312" w:hAnsi="仿宋" w:eastAsia="仿宋_GB2312"/>
          <w:sz w:val="28"/>
          <w:szCs w:val="28"/>
        </w:rPr>
        <w:t>甲方在披露过往业绩相关字段时</w:t>
      </w:r>
      <w:r>
        <w:rPr>
          <w:rFonts w:hint="eastAsia" w:ascii="仿宋_GB2312" w:hAnsi="仿宋" w:eastAsia="仿宋_GB2312"/>
          <w:sz w:val="28"/>
          <w:szCs w:val="28"/>
        </w:rPr>
        <w:t>，</w:t>
      </w:r>
      <w:r>
        <w:rPr>
          <w:rFonts w:ascii="仿宋_GB2312" w:hAnsi="仿宋" w:eastAsia="仿宋_GB2312"/>
          <w:sz w:val="28"/>
          <w:szCs w:val="28"/>
        </w:rPr>
        <w:t>应采用乙方已复核的净值</w:t>
      </w:r>
      <w:r>
        <w:rPr>
          <w:rFonts w:hint="eastAsia" w:ascii="仿宋_GB2312" w:hAnsi="仿宋" w:eastAsia="仿宋_GB2312"/>
          <w:sz w:val="28"/>
          <w:szCs w:val="28"/>
        </w:rPr>
        <w:t>，且相关计算</w:t>
      </w:r>
      <w:r>
        <w:rPr>
          <w:rFonts w:ascii="仿宋_GB2312" w:hAnsi="仿宋" w:eastAsia="仿宋_GB2312"/>
          <w:sz w:val="28"/>
          <w:szCs w:val="28"/>
        </w:rPr>
        <w:t>公式应由乙方</w:t>
      </w:r>
      <w:r>
        <w:rPr>
          <w:rFonts w:hint="eastAsia" w:ascii="仿宋_GB2312" w:hAnsi="仿宋" w:eastAsia="仿宋_GB2312"/>
          <w:sz w:val="28"/>
          <w:szCs w:val="28"/>
        </w:rPr>
        <w:t>复核</w:t>
      </w:r>
      <w:r>
        <w:rPr>
          <w:rFonts w:ascii="仿宋_GB2312" w:hAnsi="仿宋" w:eastAsia="仿宋_GB2312"/>
          <w:sz w:val="28"/>
          <w:szCs w:val="28"/>
        </w:rPr>
        <w:t>通过</w:t>
      </w:r>
      <w:r>
        <w:rPr>
          <w:rFonts w:hint="eastAsia" w:ascii="仿宋_GB2312" w:hAnsi="仿宋" w:eastAsia="仿宋_GB2312"/>
          <w:sz w:val="28"/>
          <w:szCs w:val="28"/>
        </w:rPr>
        <w:t>。</w:t>
      </w:r>
    </w:p>
    <w:p>
      <w:pPr>
        <w:pStyle w:val="18"/>
        <w:spacing w:before="0" w:after="0" w:line="520" w:lineRule="exact"/>
        <w:ind w:left="0" w:firstLine="560"/>
      </w:pPr>
      <w:r>
        <w:rPr>
          <w:rFonts w:ascii="仿宋_GB2312" w:hAnsi="仿宋" w:eastAsia="仿宋_GB2312"/>
          <w:sz w:val="28"/>
          <w:szCs w:val="28"/>
        </w:rPr>
        <w:t xml:space="preserve">5.2.19 </w:t>
      </w:r>
      <w:r>
        <w:rPr>
          <w:rFonts w:hint="eastAsia" w:ascii="仿宋_GB2312" w:hAnsi="仿宋" w:eastAsia="仿宋_GB2312"/>
          <w:sz w:val="28"/>
          <w:szCs w:val="28"/>
        </w:rPr>
        <w:t>国家有关法律法规、监管机构规定的其它义务。</w:t>
      </w:r>
      <w:bookmarkEnd w:id="2"/>
    </w:p>
    <w:p>
      <w:pPr>
        <w:pStyle w:val="18"/>
        <w:spacing w:before="0" w:after="0" w:line="520" w:lineRule="exact"/>
        <w:ind w:left="0" w:firstLine="560" w:firstLineChars="200"/>
        <w:rPr>
          <w:rFonts w:hint="eastAsia" w:ascii="仿宋_GB2312" w:hAnsi="仿宋" w:eastAsia="仿宋_GB2312"/>
          <w:sz w:val="28"/>
          <w:szCs w:val="28"/>
        </w:rPr>
      </w:pPr>
      <w:r>
        <w:rPr>
          <w:rFonts w:hint="eastAsia" w:ascii="仿宋_GB2312" w:hAnsi="仿宋" w:eastAsia="仿宋_GB2312" w:cstheme="minorBidi"/>
          <w:sz w:val="28"/>
          <w:szCs w:val="28"/>
        </w:rPr>
        <w:t xml:space="preserve">5.3  </w:t>
      </w:r>
      <w:r>
        <w:rPr>
          <w:rFonts w:hint="eastAsia" w:ascii="仿宋_GB2312" w:hAnsi="仿宋" w:eastAsia="仿宋_GB2312" w:cstheme="minorBidi"/>
          <w:b w:val="0"/>
          <w:sz w:val="28"/>
          <w:szCs w:val="28"/>
        </w:rPr>
        <w:t>乙方托管职责的免除</w:t>
      </w:r>
    </w:p>
    <w:p>
      <w:pPr>
        <w:pStyle w:val="18"/>
        <w:spacing w:before="0" w:after="0" w:line="520" w:lineRule="exact"/>
        <w:ind w:left="0" w:firstLine="560" w:firstLineChars="200"/>
        <w:rPr>
          <w:rFonts w:hint="eastAsia" w:ascii="仿宋_GB2312" w:hAnsi="仿宋" w:eastAsia="仿宋_GB2312"/>
          <w:sz w:val="28"/>
          <w:szCs w:val="28"/>
        </w:rPr>
      </w:pPr>
      <w:r>
        <w:rPr>
          <w:rFonts w:hint="eastAsia" w:ascii="仿宋_GB2312" w:hAnsi="仿宋" w:eastAsia="仿宋_GB2312" w:cstheme="minorBidi"/>
          <w:sz w:val="28"/>
          <w:szCs w:val="28"/>
        </w:rPr>
        <w:t>乙方按照恪尽职守、诚实信用、谨慎勤勉的原则安全托管理财财产。乙方承担的托管职责仅限于法律法规规定和托管协议约定，对于实际管控的托管资金账户、证券账户及银行间债券账户内资产承担保管职责。</w:t>
      </w:r>
    </w:p>
    <w:p>
      <w:pPr>
        <w:pStyle w:val="18"/>
        <w:spacing w:before="0" w:after="0" w:line="520" w:lineRule="exact"/>
        <w:ind w:left="0" w:firstLine="560" w:firstLineChars="200"/>
        <w:rPr>
          <w:rFonts w:hint="eastAsia" w:ascii="仿宋_GB2312" w:hAnsi="仿宋" w:eastAsia="仿宋_GB2312"/>
          <w:sz w:val="28"/>
          <w:szCs w:val="28"/>
        </w:rPr>
      </w:pPr>
      <w:r>
        <w:rPr>
          <w:rFonts w:hint="eastAsia" w:ascii="仿宋_GB2312" w:hAnsi="仿宋" w:eastAsia="仿宋_GB2312" w:cstheme="minorBidi"/>
          <w:sz w:val="28"/>
          <w:szCs w:val="28"/>
        </w:rPr>
        <w:t>除非法律法规另有规定或托管协议另有约定外，乙方的托管职责不包含以下内容：</w:t>
      </w:r>
    </w:p>
    <w:p>
      <w:pPr>
        <w:pStyle w:val="18"/>
        <w:spacing w:before="0" w:after="0" w:line="520" w:lineRule="exact"/>
        <w:ind w:left="0" w:firstLine="560" w:firstLineChars="200"/>
        <w:rPr>
          <w:rFonts w:hint="eastAsia" w:ascii="仿宋_GB2312" w:hAnsi="仿宋" w:eastAsia="仿宋_GB2312"/>
          <w:sz w:val="28"/>
          <w:szCs w:val="28"/>
        </w:rPr>
      </w:pPr>
      <w:r>
        <w:rPr>
          <w:rFonts w:hint="eastAsia" w:ascii="仿宋_GB2312" w:hAnsi="仿宋" w:eastAsia="仿宋_GB2312" w:cstheme="minorBidi"/>
          <w:sz w:val="28"/>
          <w:szCs w:val="28"/>
        </w:rPr>
        <w:t>（1）投资者的适当性管理；</w:t>
      </w:r>
    </w:p>
    <w:p>
      <w:pPr>
        <w:pStyle w:val="18"/>
        <w:spacing w:before="0" w:after="0" w:line="520" w:lineRule="exact"/>
        <w:ind w:left="0" w:firstLine="560" w:firstLineChars="200"/>
        <w:rPr>
          <w:rFonts w:hint="eastAsia" w:ascii="仿宋_GB2312" w:hAnsi="仿宋" w:eastAsia="仿宋_GB2312"/>
          <w:sz w:val="28"/>
          <w:szCs w:val="28"/>
        </w:rPr>
      </w:pPr>
      <w:r>
        <w:rPr>
          <w:rFonts w:hint="eastAsia" w:ascii="仿宋_GB2312" w:hAnsi="仿宋" w:eastAsia="仿宋_GB2312" w:cstheme="minorBidi"/>
          <w:sz w:val="28"/>
          <w:szCs w:val="28"/>
        </w:rPr>
        <w:t>（2）审核项目及交易信息真实性；</w:t>
      </w:r>
    </w:p>
    <w:p>
      <w:pPr>
        <w:pStyle w:val="18"/>
        <w:spacing w:before="0" w:after="0" w:line="520" w:lineRule="exact"/>
        <w:ind w:left="0" w:firstLine="560" w:firstLineChars="200"/>
        <w:rPr>
          <w:rFonts w:hint="eastAsia" w:ascii="仿宋_GB2312" w:hAnsi="仿宋" w:eastAsia="仿宋_GB2312"/>
          <w:sz w:val="28"/>
          <w:szCs w:val="28"/>
        </w:rPr>
      </w:pPr>
      <w:r>
        <w:rPr>
          <w:rFonts w:hint="eastAsia" w:ascii="仿宋_GB2312" w:hAnsi="仿宋" w:eastAsia="仿宋_GB2312" w:cstheme="minorBidi"/>
          <w:sz w:val="28"/>
          <w:szCs w:val="28"/>
        </w:rPr>
        <w:t>（3）审查理财以及理财资金来源的合法合规性；</w:t>
      </w:r>
    </w:p>
    <w:p>
      <w:pPr>
        <w:pStyle w:val="18"/>
        <w:spacing w:before="0" w:after="0" w:line="520" w:lineRule="exact"/>
        <w:ind w:left="0" w:firstLine="560" w:firstLineChars="200"/>
        <w:rPr>
          <w:rFonts w:hint="eastAsia" w:ascii="仿宋_GB2312" w:hAnsi="仿宋" w:eastAsia="仿宋_GB2312"/>
          <w:sz w:val="28"/>
          <w:szCs w:val="28"/>
        </w:rPr>
      </w:pPr>
      <w:r>
        <w:rPr>
          <w:rFonts w:hint="eastAsia" w:ascii="仿宋_GB2312" w:hAnsi="仿宋" w:eastAsia="仿宋_GB2312" w:cstheme="minorBidi"/>
          <w:sz w:val="28"/>
          <w:szCs w:val="28"/>
        </w:rPr>
        <w:t>（4）对理财本金及收益提供保证或承诺；</w:t>
      </w:r>
    </w:p>
    <w:p>
      <w:pPr>
        <w:pStyle w:val="18"/>
        <w:spacing w:before="0" w:after="0" w:line="520" w:lineRule="exact"/>
        <w:ind w:left="0" w:firstLine="560" w:firstLineChars="200"/>
        <w:rPr>
          <w:rFonts w:hint="eastAsia" w:ascii="仿宋_GB2312" w:hAnsi="仿宋" w:eastAsia="仿宋_GB2312"/>
          <w:sz w:val="28"/>
          <w:szCs w:val="28"/>
        </w:rPr>
      </w:pPr>
      <w:r>
        <w:rPr>
          <w:rFonts w:hint="eastAsia" w:ascii="仿宋_GB2312" w:hAnsi="仿宋" w:eastAsia="仿宋_GB2312" w:cstheme="minorBidi"/>
          <w:sz w:val="28"/>
          <w:szCs w:val="28"/>
        </w:rPr>
        <w:t>（5）对已划出托管账户以及处于乙方实际控制之外的资产的保管责任；</w:t>
      </w:r>
    </w:p>
    <w:p>
      <w:pPr>
        <w:pStyle w:val="18"/>
        <w:spacing w:before="0" w:after="0" w:line="520" w:lineRule="exact"/>
        <w:ind w:left="0" w:firstLine="560" w:firstLineChars="200"/>
        <w:rPr>
          <w:rFonts w:hint="eastAsia" w:ascii="仿宋_GB2312" w:hAnsi="仿宋" w:eastAsia="仿宋_GB2312"/>
          <w:sz w:val="28"/>
          <w:szCs w:val="28"/>
        </w:rPr>
      </w:pPr>
      <w:r>
        <w:rPr>
          <w:rFonts w:hint="eastAsia" w:ascii="仿宋_GB2312" w:hAnsi="仿宋" w:eastAsia="仿宋_GB2312" w:cstheme="minorBidi"/>
          <w:sz w:val="28"/>
          <w:szCs w:val="28"/>
        </w:rPr>
        <w:t>（6）对未兑付理财后续资金的追偿；</w:t>
      </w:r>
    </w:p>
    <w:p>
      <w:pPr>
        <w:pStyle w:val="18"/>
        <w:spacing w:before="0" w:after="0" w:line="520" w:lineRule="exact"/>
        <w:ind w:left="0" w:firstLine="560" w:firstLineChars="200"/>
        <w:rPr>
          <w:rFonts w:hint="eastAsia" w:ascii="仿宋_GB2312" w:hAnsi="仿宋" w:eastAsia="仿宋_GB2312"/>
          <w:sz w:val="28"/>
          <w:szCs w:val="28"/>
        </w:rPr>
      </w:pPr>
      <w:r>
        <w:rPr>
          <w:rFonts w:hint="eastAsia" w:ascii="仿宋_GB2312" w:hAnsi="仿宋" w:eastAsia="仿宋_GB2312" w:cstheme="minorBidi"/>
          <w:sz w:val="28"/>
          <w:szCs w:val="28"/>
        </w:rPr>
        <w:t>（7）甲方未接受乙方的复核意见进行信息披露产生的相应责任；</w:t>
      </w:r>
    </w:p>
    <w:p>
      <w:pPr>
        <w:pStyle w:val="18"/>
        <w:spacing w:before="0" w:after="0" w:line="520" w:lineRule="exact"/>
        <w:ind w:left="0" w:firstLine="560" w:firstLineChars="200"/>
        <w:rPr>
          <w:rFonts w:hint="eastAsia" w:ascii="仿宋_GB2312" w:hAnsi="仿宋" w:eastAsia="仿宋_GB2312"/>
          <w:sz w:val="28"/>
          <w:szCs w:val="28"/>
        </w:rPr>
      </w:pPr>
      <w:r>
        <w:rPr>
          <w:rFonts w:hint="eastAsia" w:ascii="仿宋_GB2312" w:hAnsi="仿宋" w:eastAsia="仿宋_GB2312" w:cstheme="minorBidi"/>
          <w:sz w:val="28"/>
          <w:szCs w:val="28"/>
        </w:rPr>
        <w:t>（8）因不可抗力，以及由于第三方（包括但不限于证券交易所、期货交易所、中国证券登记结算公司、中国期货市场监控中心等）发送或提供的数据错误及合理依赖上述信息操作给理财资产造成的损失；</w:t>
      </w:r>
    </w:p>
    <w:p>
      <w:pPr>
        <w:pStyle w:val="18"/>
        <w:spacing w:before="0" w:after="0" w:line="520" w:lineRule="exact"/>
        <w:ind w:left="0" w:firstLine="560" w:firstLineChars="200"/>
        <w:rPr>
          <w:rFonts w:hint="eastAsia" w:ascii="仿宋_GB2312" w:hAnsi="仿宋" w:eastAsia="仿宋_GB2312"/>
          <w:sz w:val="28"/>
          <w:szCs w:val="28"/>
        </w:rPr>
      </w:pPr>
      <w:r>
        <w:rPr>
          <w:rFonts w:hint="eastAsia" w:ascii="仿宋_GB2312" w:hAnsi="仿宋" w:eastAsia="仿宋_GB2312" w:cstheme="minorBidi"/>
          <w:sz w:val="28"/>
          <w:szCs w:val="28"/>
        </w:rPr>
        <w:t>（9）提供保证或其他形式的担保；</w:t>
      </w:r>
    </w:p>
    <w:p>
      <w:pPr>
        <w:pStyle w:val="18"/>
        <w:spacing w:before="0" w:after="0" w:line="520" w:lineRule="exact"/>
        <w:ind w:left="0" w:firstLine="560" w:firstLineChars="200"/>
        <w:rPr>
          <w:rFonts w:hint="eastAsia" w:ascii="仿宋_GB2312" w:hAnsi="仿宋" w:eastAsia="仿宋_GB2312"/>
          <w:sz w:val="28"/>
          <w:szCs w:val="28"/>
        </w:rPr>
      </w:pPr>
      <w:r>
        <w:rPr>
          <w:rFonts w:hint="eastAsia" w:ascii="仿宋_GB2312" w:hAnsi="仿宋" w:eastAsia="仿宋_GB2312" w:cstheme="minorBidi"/>
          <w:sz w:val="28"/>
          <w:szCs w:val="28"/>
        </w:rPr>
        <w:t>（10）自身应尽职责之外的连带责任。</w:t>
      </w:r>
    </w:p>
    <w:p>
      <w:pPr>
        <w:pStyle w:val="3"/>
        <w:tabs>
          <w:tab w:val="left" w:pos="6779"/>
        </w:tabs>
        <w:spacing w:line="520" w:lineRule="exact"/>
        <w:ind w:firstLine="562"/>
        <w:rPr>
          <w:rFonts w:ascii="仿宋_GB2312" w:hAnsi="仿宋" w:eastAsia="仿宋_GB2312"/>
          <w:bCs/>
          <w:color w:val="auto"/>
          <w:sz w:val="28"/>
          <w:szCs w:val="28"/>
        </w:rPr>
      </w:pPr>
      <w:bookmarkStart w:id="3" w:name="_Toc296551341"/>
      <w:r>
        <w:rPr>
          <w:rFonts w:hint="eastAsia" w:ascii="仿宋_GB2312" w:hAnsi="仿宋" w:eastAsia="仿宋_GB2312"/>
          <w:bCs/>
          <w:color w:val="auto"/>
          <w:sz w:val="28"/>
          <w:szCs w:val="28"/>
        </w:rPr>
        <w:t>第六条</w:t>
      </w:r>
      <w:r>
        <w:rPr>
          <w:rFonts w:ascii="仿宋_GB2312" w:hAnsi="仿宋" w:eastAsia="仿宋_GB2312"/>
          <w:bCs/>
          <w:color w:val="auto"/>
          <w:sz w:val="28"/>
          <w:szCs w:val="28"/>
        </w:rPr>
        <w:t xml:space="preserve">  </w:t>
      </w:r>
      <w:r>
        <w:rPr>
          <w:rFonts w:hint="eastAsia" w:ascii="仿宋_GB2312" w:hAnsi="仿宋" w:eastAsia="仿宋_GB2312"/>
          <w:bCs/>
          <w:color w:val="auto"/>
          <w:sz w:val="28"/>
          <w:szCs w:val="28"/>
        </w:rPr>
        <w:t>理财资金账户的开立</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6.1</w:t>
      </w:r>
      <w:r>
        <w:rPr>
          <w:rFonts w:hint="eastAsia" w:ascii="仿宋_GB2312" w:hAnsi="仿宋" w:eastAsia="仿宋_GB2312"/>
          <w:sz w:val="28"/>
          <w:szCs w:val="28"/>
        </w:rPr>
        <w:t>为实现对理财产品财产的保管、运用及管理，乙方负责在相应的营业机构开立托管账户等与理财产品有关的账户，甲方给予协助。</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6.2</w:t>
      </w:r>
      <w:r>
        <w:rPr>
          <w:rFonts w:hint="eastAsia" w:ascii="仿宋_GB2312" w:hAnsi="仿宋" w:eastAsia="仿宋_GB2312"/>
          <w:sz w:val="28"/>
          <w:szCs w:val="28"/>
        </w:rPr>
        <w:t>理财产品托管账户的开设与管理</w:t>
      </w:r>
      <w:r>
        <w:rPr>
          <w:rFonts w:ascii="仿宋_GB2312" w:hAnsi="仿宋" w:eastAsia="仿宋_GB2312"/>
          <w:sz w:val="28"/>
          <w:szCs w:val="28"/>
        </w:rPr>
        <w:t xml:space="preserve">    </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6.2.1</w:t>
      </w:r>
      <w:r>
        <w:rPr>
          <w:rFonts w:hint="eastAsia" w:ascii="仿宋_GB2312" w:hAnsi="仿宋" w:eastAsia="仿宋_GB2312"/>
          <w:sz w:val="28"/>
          <w:szCs w:val="28"/>
        </w:rPr>
        <w:t>在甲方向乙方提交正确无误的理财产品的开户资料后由乙方完成托管账户的开立工作，该账户不得透支、不得提现、不得通兑、不得购买支付凭证、不得开通网上银行转账功能。甲方应保证所提供账户资料的真实性、准确性和有效性，并在账户资料发生变更后5个工作日内及时向乙方提供更新后的账户资料。由于未及时提供更新账户资料导致资金账户未能正常使用的，由甲方承担相应责任。账户预留印鉴按照乙方要求办理。本理财产品的一切货币收支活动均通过本托管账户进行。开立完毕后，乙方在当日内提供该理财产品的相应托管账户开立信息（参见附件三《关于银行账户开立就绪的函》）。</w:t>
      </w:r>
    </w:p>
    <w:p>
      <w:pPr>
        <w:pStyle w:val="18"/>
        <w:spacing w:before="0" w:after="0" w:line="520" w:lineRule="exact"/>
        <w:ind w:left="0" w:firstLine="560"/>
        <w:rPr>
          <w:rFonts w:ascii="仿宋_GB2312" w:hAnsi="仿宋" w:eastAsia="仿宋_GB2312"/>
          <w:sz w:val="28"/>
          <w:szCs w:val="28"/>
        </w:rPr>
      </w:pPr>
      <w:r>
        <w:rPr>
          <w:rFonts w:hint="eastAsia" w:ascii="仿宋_GB2312" w:hAnsi="仿宋" w:eastAsia="仿宋_GB2312"/>
          <w:sz w:val="28"/>
          <w:szCs w:val="28"/>
        </w:rPr>
        <w:t>甲方应依法履行受益所有人识别义务，在开立托管账户时按照开户银行要求，就相关信息的提供、核实等提供必要的协助，并确保所提供的关于自身的信息以及证明材料的真实性、准确性。</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6.2.2</w:t>
      </w:r>
      <w:r>
        <w:rPr>
          <w:rFonts w:hint="eastAsia" w:ascii="仿宋_GB2312" w:hAnsi="仿宋" w:eastAsia="仿宋_GB2312"/>
          <w:sz w:val="28"/>
          <w:szCs w:val="28"/>
        </w:rPr>
        <w:t>理财产品托管账户的开立和使用，仅限于满足开展本理财产品业务的需要。各方均不得使用该理财产品托管账户进行本理财产品业务以外的活动。</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6.2.3</w:t>
      </w:r>
      <w:r>
        <w:rPr>
          <w:rFonts w:hint="eastAsia" w:ascii="仿宋_GB2312" w:hAnsi="仿宋" w:eastAsia="仿宋_GB2312"/>
          <w:sz w:val="28"/>
          <w:szCs w:val="28"/>
        </w:rPr>
        <w:t>甲方应为其管理的各期</w:t>
      </w:r>
      <w:r>
        <w:rPr>
          <w:rFonts w:ascii="仿宋_GB2312" w:hAnsi="仿宋" w:eastAsia="仿宋_GB2312"/>
          <w:sz w:val="28"/>
          <w:szCs w:val="28"/>
        </w:rPr>
        <w:t>/</w:t>
      </w:r>
      <w:r>
        <w:rPr>
          <w:rFonts w:hint="eastAsia" w:ascii="仿宋_GB2312" w:hAnsi="仿宋" w:eastAsia="仿宋_GB2312"/>
          <w:sz w:val="28"/>
          <w:szCs w:val="28"/>
        </w:rPr>
        <w:t>单只理财产品分别单独开立托管账户。</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 xml:space="preserve">6.2.4 </w:t>
      </w:r>
      <w:r>
        <w:rPr>
          <w:rFonts w:hint="eastAsia" w:ascii="仿宋_GB2312" w:hAnsi="仿宋" w:eastAsia="仿宋_GB2312"/>
          <w:sz w:val="28"/>
          <w:szCs w:val="28"/>
        </w:rPr>
        <w:t>在理财产品存续期间，甲方未经乙方书面同意，不得撤销理财产品托管账户，不得在乙方柜台办理资金划拨、购买支票等结算业务，否则由此造成的理财产品财产损失，全部由甲方承担。</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6.2.5</w:t>
      </w:r>
      <w:r>
        <w:rPr>
          <w:rFonts w:hint="eastAsia" w:ascii="仿宋_GB2312" w:hAnsi="仿宋" w:eastAsia="仿宋_GB2312"/>
          <w:sz w:val="28"/>
          <w:szCs w:val="28"/>
        </w:rPr>
        <w:t>甲方</w:t>
      </w:r>
      <w:r>
        <w:rPr>
          <w:rFonts w:ascii="仿宋_GB2312" w:hAnsi="仿宋" w:eastAsia="仿宋_GB2312"/>
          <w:sz w:val="28"/>
          <w:szCs w:val="28"/>
        </w:rPr>
        <w:t>在</w:t>
      </w:r>
      <w:r>
        <w:rPr>
          <w:rFonts w:hint="eastAsia" w:ascii="仿宋_GB2312" w:hAnsi="仿宋" w:eastAsia="仿宋_GB2312"/>
          <w:sz w:val="28"/>
          <w:szCs w:val="28"/>
        </w:rPr>
        <w:t>理财产品成立日将起始理财资金足额划入托管账户。</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6.2.6</w:t>
      </w:r>
      <w:r>
        <w:rPr>
          <w:rFonts w:hint="eastAsia" w:ascii="仿宋_GB2312" w:hAnsi="仿宋" w:eastAsia="仿宋_GB2312"/>
          <w:sz w:val="28"/>
          <w:szCs w:val="28"/>
        </w:rPr>
        <w:t>理财产品托管账户的管理应符合《人民币银行结算账户管理办法》、《支付结算办法》、中国人民银行利率管理的有关规定以及中国人民银行、国家金融监督管理总局的其他规定。</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6.2.7</w:t>
      </w:r>
      <w:r>
        <w:rPr>
          <w:rFonts w:hint="eastAsia" w:ascii="仿宋_GB2312" w:hAnsi="仿宋" w:eastAsia="仿宋_GB2312"/>
          <w:sz w:val="28"/>
          <w:szCs w:val="28"/>
        </w:rPr>
        <w:t>理财产品托管账户利率发生变更的，乙方应提前一个工作日函件通知甲方，函件内容应包括账户名称、账号、利率、生效日等要素。</w:t>
      </w:r>
    </w:p>
    <w:p>
      <w:pPr>
        <w:pStyle w:val="3"/>
        <w:tabs>
          <w:tab w:val="left" w:pos="6779"/>
        </w:tabs>
        <w:spacing w:line="520" w:lineRule="exact"/>
        <w:ind w:firstLine="562"/>
        <w:rPr>
          <w:rFonts w:ascii="仿宋_GB2312" w:hAnsi="仿宋" w:eastAsia="仿宋_GB2312"/>
          <w:bCs/>
          <w:color w:val="auto"/>
          <w:sz w:val="28"/>
          <w:szCs w:val="28"/>
        </w:rPr>
      </w:pPr>
      <w:r>
        <w:rPr>
          <w:rFonts w:hint="eastAsia" w:ascii="仿宋_GB2312" w:hAnsi="仿宋" w:eastAsia="仿宋_GB2312"/>
          <w:bCs/>
          <w:color w:val="auto"/>
          <w:sz w:val="28"/>
          <w:szCs w:val="28"/>
        </w:rPr>
        <w:t>第七条</w:t>
      </w:r>
      <w:r>
        <w:rPr>
          <w:rFonts w:ascii="仿宋_GB2312" w:hAnsi="仿宋" w:eastAsia="仿宋_GB2312"/>
          <w:bCs/>
          <w:color w:val="auto"/>
          <w:sz w:val="28"/>
          <w:szCs w:val="28"/>
        </w:rPr>
        <w:t xml:space="preserve"> </w:t>
      </w:r>
      <w:r>
        <w:rPr>
          <w:rFonts w:hint="eastAsia" w:ascii="仿宋_GB2312" w:hAnsi="仿宋" w:eastAsia="仿宋_GB2312"/>
          <w:bCs/>
          <w:color w:val="auto"/>
          <w:sz w:val="28"/>
          <w:szCs w:val="28"/>
        </w:rPr>
        <w:t>理财财产的管理与运用</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7.1</w:t>
      </w:r>
      <w:r>
        <w:rPr>
          <w:rFonts w:hint="eastAsia" w:ascii="仿宋_GB2312" w:hAnsi="仿宋" w:eastAsia="仿宋_GB2312"/>
          <w:sz w:val="28"/>
          <w:szCs w:val="28"/>
        </w:rPr>
        <w:t>甲方对理财产品财产依据理财产品文件进行管理、运用和处分。</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7.2</w:t>
      </w:r>
      <w:r>
        <w:rPr>
          <w:rFonts w:hint="eastAsia" w:ascii="仿宋_GB2312" w:hAnsi="仿宋" w:eastAsia="仿宋_GB2312"/>
          <w:sz w:val="28"/>
          <w:szCs w:val="28"/>
        </w:rPr>
        <w:t>如果乙方发现甲方的资金运用违背法律法规、理财产品文件或本协议的约定，则乙方有权拒绝执行甲方的划款指令，但应及时通知甲方。</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7.3</w:t>
      </w:r>
      <w:r>
        <w:rPr>
          <w:rFonts w:hint="eastAsia" w:ascii="仿宋_GB2312" w:hAnsi="仿宋" w:eastAsia="仿宋_GB2312"/>
          <w:sz w:val="28"/>
          <w:szCs w:val="28"/>
        </w:rPr>
        <w:t>对于因理财产品财产管理、运用等过程中产生的应收财产，应由甲方负责与有关当事人确定到账日期。</w:t>
      </w:r>
    </w:p>
    <w:p>
      <w:pPr>
        <w:pStyle w:val="3"/>
        <w:tabs>
          <w:tab w:val="left" w:pos="6779"/>
        </w:tabs>
        <w:spacing w:line="520" w:lineRule="exact"/>
        <w:ind w:firstLine="562"/>
        <w:rPr>
          <w:rFonts w:ascii="仿宋_GB2312" w:hAnsi="仿宋" w:eastAsia="仿宋_GB2312"/>
          <w:bCs/>
          <w:color w:val="auto"/>
          <w:sz w:val="28"/>
          <w:szCs w:val="28"/>
        </w:rPr>
      </w:pPr>
      <w:r>
        <w:rPr>
          <w:rFonts w:hint="eastAsia" w:ascii="仿宋_GB2312" w:hAnsi="仿宋" w:eastAsia="仿宋_GB2312"/>
          <w:bCs/>
          <w:color w:val="auto"/>
          <w:sz w:val="28"/>
          <w:szCs w:val="28"/>
        </w:rPr>
        <w:t>第八条</w:t>
      </w:r>
      <w:r>
        <w:rPr>
          <w:rFonts w:ascii="仿宋_GB2312" w:hAnsi="仿宋" w:eastAsia="仿宋_GB2312"/>
          <w:bCs/>
          <w:color w:val="auto"/>
          <w:sz w:val="28"/>
          <w:szCs w:val="28"/>
        </w:rPr>
        <w:t xml:space="preserve"> </w:t>
      </w:r>
      <w:r>
        <w:rPr>
          <w:rFonts w:hint="eastAsia" w:ascii="仿宋_GB2312" w:hAnsi="仿宋" w:eastAsia="仿宋_GB2312"/>
          <w:bCs/>
          <w:color w:val="auto"/>
          <w:sz w:val="28"/>
          <w:szCs w:val="28"/>
        </w:rPr>
        <w:t>理财财产的保管</w:t>
      </w:r>
      <w:bookmarkEnd w:id="3"/>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8.1</w:t>
      </w:r>
      <w:r>
        <w:rPr>
          <w:rFonts w:hint="eastAsia" w:ascii="仿宋_GB2312" w:hAnsi="仿宋" w:eastAsia="仿宋_GB2312"/>
          <w:sz w:val="28"/>
          <w:szCs w:val="28"/>
        </w:rPr>
        <w:t>理财财产应独立于甲、乙方的固有财产。</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8.2</w:t>
      </w:r>
      <w:r>
        <w:rPr>
          <w:rFonts w:hint="eastAsia" w:ascii="仿宋_GB2312" w:hAnsi="仿宋" w:eastAsia="仿宋_GB2312"/>
          <w:sz w:val="28"/>
          <w:szCs w:val="28"/>
        </w:rPr>
        <w:t>乙方应安全保管理财财产。除依据法律法规规定、理财文件和本托管协议约定及理财管理人的正当指令外，不得自行运用、处分、分配理财</w:t>
      </w:r>
      <w:r>
        <w:rPr>
          <w:rFonts w:ascii="仿宋_GB2312" w:hAnsi="仿宋" w:eastAsia="仿宋_GB2312"/>
          <w:sz w:val="28"/>
          <w:szCs w:val="28"/>
        </w:rPr>
        <w:t>产品</w:t>
      </w:r>
      <w:r>
        <w:rPr>
          <w:rFonts w:hint="eastAsia" w:ascii="仿宋_GB2312" w:hAnsi="仿宋" w:eastAsia="仿宋_GB2312"/>
          <w:sz w:val="28"/>
          <w:szCs w:val="28"/>
        </w:rPr>
        <w:t>的任何财产。</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8.3</w:t>
      </w:r>
      <w:r>
        <w:rPr>
          <w:rFonts w:hint="eastAsia" w:ascii="仿宋_GB2312" w:hAnsi="仿宋" w:eastAsia="仿宋_GB2312"/>
          <w:sz w:val="28"/>
          <w:szCs w:val="28"/>
        </w:rPr>
        <w:t>乙方按照理财管理人的需要开设理财产品投资</w:t>
      </w:r>
      <w:r>
        <w:rPr>
          <w:rFonts w:ascii="仿宋_GB2312" w:hAnsi="仿宋" w:eastAsia="仿宋_GB2312"/>
          <w:sz w:val="28"/>
          <w:szCs w:val="28"/>
        </w:rPr>
        <w:t>所需要</w:t>
      </w:r>
      <w:r>
        <w:rPr>
          <w:rFonts w:hint="eastAsia" w:ascii="仿宋_GB2312" w:hAnsi="仿宋" w:eastAsia="仿宋_GB2312"/>
          <w:sz w:val="28"/>
          <w:szCs w:val="28"/>
        </w:rPr>
        <w:t>的</w:t>
      </w:r>
      <w:r>
        <w:rPr>
          <w:rFonts w:ascii="仿宋_GB2312" w:hAnsi="仿宋" w:eastAsia="仿宋_GB2312"/>
          <w:sz w:val="28"/>
          <w:szCs w:val="28"/>
        </w:rPr>
        <w:t>资金账户和资产账户</w:t>
      </w:r>
      <w:r>
        <w:rPr>
          <w:rFonts w:hint="eastAsia" w:ascii="仿宋_GB2312" w:hAnsi="仿宋" w:eastAsia="仿宋_GB2312"/>
          <w:sz w:val="28"/>
          <w:szCs w:val="28"/>
        </w:rPr>
        <w:t>。乙方应按日对资产托管账户及</w:t>
      </w:r>
      <w:r>
        <w:rPr>
          <w:rFonts w:ascii="仿宋_GB2312" w:hAnsi="仿宋" w:eastAsia="仿宋_GB2312"/>
          <w:sz w:val="28"/>
          <w:szCs w:val="28"/>
        </w:rPr>
        <w:t>交易所</w:t>
      </w:r>
      <w:r>
        <w:rPr>
          <w:rFonts w:hint="eastAsia" w:ascii="仿宋_GB2312" w:hAnsi="仿宋" w:eastAsia="仿宋_GB2312"/>
          <w:sz w:val="28"/>
          <w:szCs w:val="28"/>
        </w:rPr>
        <w:t>等资产账户进行核对，保证账实相符。</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8.4</w:t>
      </w:r>
      <w:r>
        <w:rPr>
          <w:rFonts w:hint="eastAsia" w:ascii="仿宋_GB2312" w:hAnsi="仿宋" w:eastAsia="仿宋_GB2312"/>
          <w:sz w:val="28"/>
          <w:szCs w:val="28"/>
        </w:rPr>
        <w:t>乙方对所托管的不同理财财产分别设置账户，与乙方的其他业务实行严格的分账管理，确保理财财产的完整与独立。</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8.5</w:t>
      </w:r>
      <w:r>
        <w:rPr>
          <w:rFonts w:hint="eastAsia" w:ascii="仿宋_GB2312" w:hAnsi="仿宋" w:eastAsia="仿宋_GB2312"/>
          <w:sz w:val="28"/>
          <w:szCs w:val="28"/>
        </w:rPr>
        <w:t>乙方根据甲方的指令，按照本协议和理财文件的约定保管理财财产，如有特殊情况双方可另行协商解决。</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8.6</w:t>
      </w:r>
      <w:r>
        <w:rPr>
          <w:rFonts w:hint="eastAsia" w:ascii="仿宋_GB2312" w:hAnsi="仿宋" w:eastAsia="仿宋_GB2312"/>
          <w:sz w:val="28"/>
          <w:szCs w:val="28"/>
        </w:rPr>
        <w:t>除依据法律法规、理财文件和本协议的规定外，乙方不得委托第三人托管理财资产。</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 xml:space="preserve">8.7 </w:t>
      </w:r>
      <w:r>
        <w:rPr>
          <w:rFonts w:hint="eastAsia" w:ascii="仿宋_GB2312" w:hAnsi="仿宋" w:eastAsia="仿宋_GB2312"/>
          <w:sz w:val="28"/>
          <w:szCs w:val="28"/>
        </w:rPr>
        <w:t>托管</w:t>
      </w:r>
      <w:r>
        <w:rPr>
          <w:rFonts w:ascii="仿宋_GB2312" w:hAnsi="仿宋" w:eastAsia="仿宋_GB2312"/>
          <w:sz w:val="28"/>
          <w:szCs w:val="28"/>
        </w:rPr>
        <w:t>账户的开立和管理</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8.7.1乙方以理财产品</w:t>
      </w:r>
      <w:r>
        <w:rPr>
          <w:rFonts w:hint="eastAsia" w:ascii="仿宋_GB2312" w:hAnsi="仿宋" w:eastAsia="仿宋_GB2312"/>
          <w:sz w:val="28"/>
          <w:szCs w:val="28"/>
        </w:rPr>
        <w:t>的名义在其营业机构开立理财</w:t>
      </w:r>
      <w:r>
        <w:rPr>
          <w:rFonts w:ascii="仿宋_GB2312" w:hAnsi="仿宋" w:eastAsia="仿宋_GB2312"/>
          <w:sz w:val="28"/>
          <w:szCs w:val="28"/>
        </w:rPr>
        <w:t>产品</w:t>
      </w:r>
      <w:r>
        <w:rPr>
          <w:rFonts w:hint="eastAsia" w:ascii="仿宋_GB2312" w:hAnsi="仿宋" w:eastAsia="仿宋_GB2312"/>
          <w:sz w:val="28"/>
          <w:szCs w:val="28"/>
        </w:rPr>
        <w:t>的托管账户，并根据甲方合法合规的指令办理资金收付。</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8.7.2</w:t>
      </w:r>
      <w:r>
        <w:rPr>
          <w:rFonts w:hint="eastAsia" w:ascii="仿宋_GB2312" w:hAnsi="仿宋" w:eastAsia="仿宋_GB2312"/>
          <w:sz w:val="28"/>
          <w:szCs w:val="28"/>
        </w:rPr>
        <w:t>理财</w:t>
      </w:r>
      <w:r>
        <w:rPr>
          <w:rFonts w:ascii="仿宋_GB2312" w:hAnsi="仿宋" w:eastAsia="仿宋_GB2312"/>
          <w:sz w:val="28"/>
          <w:szCs w:val="28"/>
        </w:rPr>
        <w:t>产品</w:t>
      </w:r>
      <w:r>
        <w:rPr>
          <w:rFonts w:hint="eastAsia" w:ascii="仿宋_GB2312" w:hAnsi="仿宋" w:eastAsia="仿宋_GB2312"/>
          <w:sz w:val="28"/>
          <w:szCs w:val="28"/>
        </w:rPr>
        <w:t>托管账户的开立和使用，限于满足开展理财业务的需要。乙方和甲方不得假借理财</w:t>
      </w:r>
      <w:r>
        <w:rPr>
          <w:rFonts w:ascii="仿宋_GB2312" w:hAnsi="仿宋" w:eastAsia="仿宋_GB2312"/>
          <w:sz w:val="28"/>
          <w:szCs w:val="28"/>
        </w:rPr>
        <w:t>产品</w:t>
      </w:r>
      <w:r>
        <w:rPr>
          <w:rFonts w:hint="eastAsia" w:ascii="仿宋_GB2312" w:hAnsi="仿宋" w:eastAsia="仿宋_GB2312"/>
          <w:sz w:val="28"/>
          <w:szCs w:val="28"/>
        </w:rPr>
        <w:t>的名义开立任何其他银行账户；亦不得使用理财</w:t>
      </w:r>
      <w:r>
        <w:rPr>
          <w:rFonts w:ascii="仿宋_GB2312" w:hAnsi="仿宋" w:eastAsia="仿宋_GB2312"/>
          <w:sz w:val="28"/>
          <w:szCs w:val="28"/>
        </w:rPr>
        <w:t>产品</w:t>
      </w:r>
      <w:r>
        <w:rPr>
          <w:rFonts w:hint="eastAsia" w:ascii="仿宋_GB2312" w:hAnsi="仿宋" w:eastAsia="仿宋_GB2312"/>
          <w:sz w:val="28"/>
          <w:szCs w:val="28"/>
        </w:rPr>
        <w:t>的任何账户进行理财业务以外的活动。</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8.7.3</w:t>
      </w:r>
      <w:r>
        <w:rPr>
          <w:rFonts w:hint="eastAsia" w:ascii="仿宋_GB2312" w:hAnsi="仿宋" w:eastAsia="仿宋_GB2312"/>
          <w:sz w:val="28"/>
          <w:szCs w:val="28"/>
        </w:rPr>
        <w:t>理财</w:t>
      </w:r>
      <w:r>
        <w:rPr>
          <w:rFonts w:ascii="仿宋_GB2312" w:hAnsi="仿宋" w:eastAsia="仿宋_GB2312"/>
          <w:sz w:val="28"/>
          <w:szCs w:val="28"/>
        </w:rPr>
        <w:t>产品</w:t>
      </w:r>
      <w:r>
        <w:rPr>
          <w:rFonts w:hint="eastAsia" w:ascii="仿宋_GB2312" w:hAnsi="仿宋" w:eastAsia="仿宋_GB2312"/>
          <w:sz w:val="28"/>
          <w:szCs w:val="28"/>
        </w:rPr>
        <w:t>托管账户的开立和管理应符合有关法律法规以及监管机构的有关规定。</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 xml:space="preserve">8.8 </w:t>
      </w:r>
      <w:r>
        <w:rPr>
          <w:rFonts w:hint="eastAsia" w:ascii="仿宋_GB2312" w:hAnsi="仿宋" w:eastAsia="仿宋_GB2312"/>
          <w:sz w:val="28"/>
          <w:szCs w:val="28"/>
        </w:rPr>
        <w:t>理财产品证券账户与证券交易资金账户的开设和管理：</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8.8.1</w:t>
      </w:r>
      <w:r>
        <w:rPr>
          <w:rFonts w:hint="eastAsia" w:ascii="仿宋_GB2312" w:hAnsi="仿宋" w:eastAsia="仿宋_GB2312"/>
          <w:sz w:val="28"/>
          <w:szCs w:val="28"/>
        </w:rPr>
        <w:t>管理人应当及时以理财产品名义缴纳证券开户费并提供符合要求</w:t>
      </w:r>
      <w:commentRangeStart w:id="0"/>
      <w:r>
        <w:rPr>
          <w:rFonts w:hint="eastAsia" w:ascii="仿宋_GB2312" w:hAnsi="仿宋" w:eastAsia="仿宋_GB2312"/>
          <w:sz w:val="28"/>
          <w:szCs w:val="28"/>
        </w:rPr>
        <w:t>的缴费凭据</w:t>
      </w:r>
      <w:commentRangeEnd w:id="0"/>
      <w:r>
        <w:commentReference w:id="0"/>
      </w:r>
      <w:r>
        <w:rPr>
          <w:rFonts w:hint="eastAsia" w:ascii="仿宋_GB2312" w:hAnsi="仿宋" w:eastAsia="仿宋_GB2312"/>
          <w:sz w:val="28"/>
          <w:szCs w:val="28"/>
        </w:rPr>
        <w:t>。</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8.8.2</w:t>
      </w:r>
      <w:r>
        <w:rPr>
          <w:rFonts w:hint="eastAsia" w:ascii="仿宋_GB2312" w:hAnsi="仿宋" w:eastAsia="仿宋_GB2312"/>
          <w:sz w:val="28"/>
          <w:szCs w:val="28"/>
        </w:rPr>
        <w:t>托管人以理财</w:t>
      </w:r>
      <w:r>
        <w:rPr>
          <w:rFonts w:ascii="仿宋_GB2312" w:hAnsi="仿宋" w:eastAsia="仿宋_GB2312"/>
          <w:sz w:val="28"/>
          <w:szCs w:val="28"/>
        </w:rPr>
        <w:t>产品</w:t>
      </w:r>
      <w:r>
        <w:rPr>
          <w:rFonts w:hint="eastAsia" w:ascii="仿宋_GB2312" w:hAnsi="仿宋" w:eastAsia="仿宋_GB2312"/>
          <w:sz w:val="28"/>
          <w:szCs w:val="28"/>
        </w:rPr>
        <w:t>名义在中国证券登记结算有限责任公司开设证券账户，管理人提供所需资料。</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8.8.3</w:t>
      </w:r>
      <w:r>
        <w:rPr>
          <w:rFonts w:hint="eastAsia" w:ascii="仿宋_GB2312" w:hAnsi="仿宋" w:eastAsia="仿宋_GB2312"/>
          <w:sz w:val="28"/>
          <w:szCs w:val="28"/>
        </w:rPr>
        <w:t>管理人以理财</w:t>
      </w:r>
      <w:r>
        <w:rPr>
          <w:rFonts w:ascii="仿宋_GB2312" w:hAnsi="仿宋" w:eastAsia="仿宋_GB2312"/>
          <w:sz w:val="28"/>
          <w:szCs w:val="28"/>
        </w:rPr>
        <w:t>产品</w:t>
      </w:r>
      <w:r>
        <w:rPr>
          <w:rFonts w:hint="eastAsia" w:ascii="仿宋_GB2312" w:hAnsi="仿宋" w:eastAsia="仿宋_GB2312"/>
          <w:sz w:val="28"/>
          <w:szCs w:val="28"/>
        </w:rPr>
        <w:t>的名义在经纪业务服务商处</w:t>
      </w:r>
      <w:r>
        <w:rPr>
          <w:rFonts w:ascii="仿宋_GB2312" w:hAnsi="仿宋" w:eastAsia="仿宋_GB2312"/>
          <w:sz w:val="28"/>
          <w:szCs w:val="28"/>
        </w:rPr>
        <w:t>开立理财产品</w:t>
      </w:r>
      <w:r>
        <w:rPr>
          <w:rFonts w:hint="eastAsia" w:ascii="仿宋_GB2312" w:hAnsi="仿宋" w:eastAsia="仿宋_GB2312"/>
          <w:sz w:val="28"/>
          <w:szCs w:val="28"/>
        </w:rPr>
        <w:t>证券交易资金账户，用于证券清算。托管人负责以理财产品名义在开户银行办理第三方存管确认。</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8.8.4</w:t>
      </w:r>
      <w:r>
        <w:rPr>
          <w:rFonts w:hint="eastAsia" w:ascii="仿宋_GB2312" w:hAnsi="仿宋" w:eastAsia="仿宋_GB2312"/>
          <w:sz w:val="28"/>
          <w:szCs w:val="28"/>
        </w:rPr>
        <w:t>理财</w:t>
      </w:r>
      <w:r>
        <w:rPr>
          <w:rFonts w:ascii="仿宋_GB2312" w:hAnsi="仿宋" w:eastAsia="仿宋_GB2312"/>
          <w:sz w:val="28"/>
          <w:szCs w:val="28"/>
        </w:rPr>
        <w:t>产品</w:t>
      </w:r>
      <w:r>
        <w:rPr>
          <w:rFonts w:hint="eastAsia" w:ascii="仿宋_GB2312" w:hAnsi="仿宋" w:eastAsia="仿宋_GB2312"/>
          <w:sz w:val="28"/>
          <w:szCs w:val="28"/>
        </w:rPr>
        <w:t>证券账户的开立和使用，限于满足开展理财业务的需要。甲、乙两方不得出借和未经各方同意擅自转让理财</w:t>
      </w:r>
      <w:r>
        <w:rPr>
          <w:rFonts w:ascii="仿宋_GB2312" w:hAnsi="仿宋" w:eastAsia="仿宋_GB2312"/>
          <w:sz w:val="28"/>
          <w:szCs w:val="28"/>
        </w:rPr>
        <w:t>产品</w:t>
      </w:r>
      <w:r>
        <w:rPr>
          <w:rFonts w:hint="eastAsia" w:ascii="仿宋_GB2312" w:hAnsi="仿宋" w:eastAsia="仿宋_GB2312"/>
          <w:sz w:val="28"/>
          <w:szCs w:val="28"/>
        </w:rPr>
        <w:t>的任何证券账户；亦不得使用理财</w:t>
      </w:r>
      <w:r>
        <w:rPr>
          <w:rFonts w:ascii="仿宋_GB2312" w:hAnsi="仿宋" w:eastAsia="仿宋_GB2312"/>
          <w:sz w:val="28"/>
          <w:szCs w:val="28"/>
        </w:rPr>
        <w:t>产品</w:t>
      </w:r>
      <w:r>
        <w:rPr>
          <w:rFonts w:hint="eastAsia" w:ascii="仿宋_GB2312" w:hAnsi="仿宋" w:eastAsia="仿宋_GB2312"/>
          <w:sz w:val="28"/>
          <w:szCs w:val="28"/>
        </w:rPr>
        <w:t>的任何账户进行理财业务以外的活动。</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8.9</w:t>
      </w:r>
      <w:r>
        <w:rPr>
          <w:rFonts w:hint="eastAsia" w:ascii="仿宋_GB2312" w:hAnsi="仿宋" w:eastAsia="仿宋_GB2312"/>
          <w:sz w:val="28"/>
          <w:szCs w:val="28"/>
        </w:rPr>
        <w:t>其他账户的开设和管理</w:t>
      </w:r>
    </w:p>
    <w:p>
      <w:pPr>
        <w:pStyle w:val="18"/>
        <w:spacing w:before="0" w:after="0" w:line="520" w:lineRule="exact"/>
        <w:ind w:left="0" w:firstLine="560"/>
        <w:rPr>
          <w:rFonts w:ascii="仿宋_GB2312" w:hAnsi="仿宋" w:eastAsia="仿宋_GB2312"/>
          <w:sz w:val="28"/>
          <w:szCs w:val="28"/>
        </w:rPr>
      </w:pPr>
      <w:r>
        <w:rPr>
          <w:rFonts w:hint="eastAsia" w:ascii="仿宋_GB2312" w:hAnsi="仿宋" w:eastAsia="仿宋_GB2312"/>
          <w:sz w:val="28"/>
          <w:szCs w:val="28"/>
        </w:rPr>
        <w:t>在本托管协议生效之后，理财产品被允许从事符合法律法规规定和理财文件约定的其他投资品种的投资业务时，如果涉及相关账户的开设和使用，由乙方协助甲方根据有关法律法规的规定和理财文件的约定，开立有关账户。对于需要面签的账户开立，乙方应进行面签，并保证账户开立的真实、有效该账户按有关规则使用并管理。</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8.9.1</w:t>
      </w:r>
      <w:r>
        <w:rPr>
          <w:rFonts w:hint="eastAsia" w:ascii="仿宋_GB2312" w:hAnsi="仿宋" w:eastAsia="仿宋_GB2312"/>
          <w:sz w:val="28"/>
          <w:szCs w:val="28"/>
        </w:rPr>
        <w:t>定期账户</w:t>
      </w:r>
    </w:p>
    <w:p>
      <w:pPr>
        <w:pStyle w:val="18"/>
        <w:spacing w:before="0" w:after="0" w:line="520" w:lineRule="exact"/>
        <w:ind w:left="0" w:firstLine="560"/>
        <w:rPr>
          <w:rFonts w:ascii="仿宋_GB2312" w:hAnsi="仿宋" w:eastAsia="仿宋_GB2312"/>
          <w:sz w:val="28"/>
          <w:szCs w:val="28"/>
        </w:rPr>
      </w:pPr>
      <w:r>
        <w:rPr>
          <w:rFonts w:hint="eastAsia" w:ascii="仿宋_GB2312" w:hAnsi="仿宋" w:eastAsia="仿宋_GB2312"/>
          <w:sz w:val="28"/>
          <w:szCs w:val="28"/>
        </w:rPr>
        <w:t>本理财产品</w:t>
      </w:r>
      <w:r>
        <w:rPr>
          <w:rFonts w:ascii="仿宋_GB2312" w:hAnsi="仿宋" w:eastAsia="仿宋_GB2312"/>
          <w:sz w:val="28"/>
          <w:szCs w:val="28"/>
        </w:rPr>
        <w:t>投资定期存款</w:t>
      </w:r>
      <w:r>
        <w:rPr>
          <w:rFonts w:hint="eastAsia" w:ascii="仿宋_GB2312" w:hAnsi="仿宋" w:eastAsia="仿宋_GB2312"/>
          <w:sz w:val="28"/>
          <w:szCs w:val="28"/>
        </w:rPr>
        <w:t>（包括</w:t>
      </w:r>
      <w:r>
        <w:rPr>
          <w:rFonts w:ascii="仿宋_GB2312" w:hAnsi="仿宋" w:eastAsia="仿宋_GB2312"/>
          <w:sz w:val="28"/>
          <w:szCs w:val="28"/>
        </w:rPr>
        <w:t>协议存款</w:t>
      </w:r>
      <w:r>
        <w:rPr>
          <w:rFonts w:hint="eastAsia" w:ascii="仿宋_GB2312" w:hAnsi="仿宋" w:eastAsia="仿宋_GB2312"/>
          <w:sz w:val="28"/>
          <w:szCs w:val="28"/>
        </w:rPr>
        <w:t>）</w:t>
      </w:r>
      <w:r>
        <w:rPr>
          <w:rFonts w:ascii="仿宋_GB2312" w:hAnsi="仿宋" w:eastAsia="仿宋_GB2312"/>
          <w:sz w:val="28"/>
          <w:szCs w:val="28"/>
        </w:rPr>
        <w:t>时，</w:t>
      </w:r>
      <w:r>
        <w:rPr>
          <w:rFonts w:hint="eastAsia" w:ascii="仿宋_GB2312" w:hAnsi="仿宋" w:eastAsia="仿宋_GB2312"/>
          <w:sz w:val="28"/>
          <w:szCs w:val="28"/>
        </w:rPr>
        <w:t>定期存款（包括协议存款）账户的户名应与托管账户名一致，存款账户的预留印鉴至少预留一枚托管人指定授权人的人名章。协议存款或定期存款协议中应明确注明存款到期本息应划回托管账户，协议存款或定期存款协议应经托管人审核。定期存款（包括协议存款）的存款证实书或存单原件由托管人保管。</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8.10</w:t>
      </w:r>
      <w:r>
        <w:rPr>
          <w:rFonts w:hint="eastAsia" w:ascii="仿宋_GB2312" w:hAnsi="仿宋" w:eastAsia="仿宋_GB2312"/>
          <w:sz w:val="28"/>
          <w:szCs w:val="28"/>
        </w:rPr>
        <w:t>理财财产投资的有关实物证券、银行定期存款存单等有价凭证的办理</w:t>
      </w:r>
      <w:r>
        <w:rPr>
          <w:rFonts w:ascii="仿宋_GB2312" w:hAnsi="仿宋" w:eastAsia="仿宋_GB2312"/>
          <w:sz w:val="28"/>
          <w:szCs w:val="28"/>
        </w:rPr>
        <w:t>与</w:t>
      </w:r>
      <w:r>
        <w:rPr>
          <w:rFonts w:hint="eastAsia" w:ascii="仿宋_GB2312" w:hAnsi="仿宋" w:eastAsia="仿宋_GB2312"/>
          <w:sz w:val="28"/>
          <w:szCs w:val="28"/>
        </w:rPr>
        <w:t>保管</w:t>
      </w:r>
    </w:p>
    <w:p>
      <w:pPr>
        <w:pStyle w:val="18"/>
        <w:spacing w:before="0" w:after="0" w:line="520" w:lineRule="exact"/>
        <w:ind w:left="0" w:firstLine="560"/>
        <w:rPr>
          <w:rFonts w:ascii="仿宋_GB2312" w:hAnsi="仿宋" w:eastAsia="仿宋_GB2312"/>
          <w:sz w:val="28"/>
          <w:szCs w:val="28"/>
        </w:rPr>
      </w:pPr>
      <w:r>
        <w:rPr>
          <w:rFonts w:hint="eastAsia" w:ascii="仿宋_GB2312" w:hAnsi="仿宋" w:eastAsia="仿宋_GB2312"/>
          <w:sz w:val="28"/>
          <w:szCs w:val="28"/>
        </w:rPr>
        <w:t>理财财产投资的有关实物证券、银行</w:t>
      </w:r>
      <w:r>
        <w:rPr>
          <w:rFonts w:ascii="仿宋_GB2312" w:hAnsi="仿宋" w:eastAsia="仿宋_GB2312"/>
          <w:sz w:val="28"/>
          <w:szCs w:val="28"/>
        </w:rPr>
        <w:t>定期存单</w:t>
      </w:r>
      <w:r>
        <w:rPr>
          <w:rFonts w:hint="eastAsia" w:ascii="仿宋_GB2312" w:hAnsi="仿宋" w:eastAsia="仿宋_GB2312"/>
          <w:sz w:val="28"/>
          <w:szCs w:val="28"/>
        </w:rPr>
        <w:t>由乙方存放于乙方的保管库；其中实物证券也可存入中央国债登记结算有限责任公司或中国证券登记结算有限责任公司或票据营业中心的代保管库。实物证券的购买和转让，由乙方根据甲方的指令办理。属于乙方控制下的实物证券在乙方保管期间的损坏、灭失，由此产生的责任应由乙方承担。乙方对乙方以外机构实际有效控制的证券不承担保管责任。</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8.11</w:t>
      </w:r>
      <w:r>
        <w:rPr>
          <w:rFonts w:hint="eastAsia" w:ascii="仿宋_GB2312" w:hAnsi="仿宋" w:eastAsia="仿宋_GB2312"/>
          <w:sz w:val="28"/>
          <w:szCs w:val="28"/>
        </w:rPr>
        <w:t>与理财财产有关的重大合同的保管</w:t>
      </w:r>
    </w:p>
    <w:p>
      <w:pPr>
        <w:pStyle w:val="18"/>
        <w:spacing w:before="0" w:after="0" w:line="520" w:lineRule="exact"/>
        <w:ind w:left="0" w:firstLine="560"/>
        <w:rPr>
          <w:rFonts w:ascii="仿宋_GB2312" w:hAnsi="仿宋" w:eastAsia="仿宋_GB2312"/>
          <w:sz w:val="28"/>
          <w:szCs w:val="28"/>
        </w:rPr>
      </w:pPr>
      <w:r>
        <w:rPr>
          <w:rFonts w:hint="eastAsia" w:ascii="仿宋_GB2312" w:hAnsi="仿宋" w:eastAsia="仿宋_GB2312"/>
          <w:sz w:val="28"/>
          <w:szCs w:val="28"/>
        </w:rPr>
        <w:t>与理财财产有关的重大合同的签署，由甲方负责。由甲方代表理财</w:t>
      </w:r>
      <w:r>
        <w:rPr>
          <w:rFonts w:ascii="仿宋_GB2312" w:hAnsi="仿宋" w:eastAsia="仿宋_GB2312"/>
          <w:sz w:val="28"/>
          <w:szCs w:val="28"/>
        </w:rPr>
        <w:t>产品</w:t>
      </w:r>
      <w:r>
        <w:rPr>
          <w:rFonts w:hint="eastAsia" w:ascii="仿宋_GB2312" w:hAnsi="仿宋" w:eastAsia="仿宋_GB2312"/>
          <w:sz w:val="28"/>
          <w:szCs w:val="28"/>
        </w:rPr>
        <w:t>签署的与理财财产有关的重大合同的原件或扫描件应由甲方、乙方保管，但乙方保管的重大合同的原件或扫描件限于甲方向其提供的重大合同的原件或扫描件。合同应保存【</w:t>
      </w:r>
      <w:r>
        <w:rPr>
          <w:rFonts w:ascii="仿宋_GB2312" w:hAnsi="仿宋" w:eastAsia="仿宋_GB2312"/>
          <w:sz w:val="28"/>
          <w:szCs w:val="28"/>
        </w:rPr>
        <w:t>15</w:t>
      </w:r>
      <w:r>
        <w:rPr>
          <w:rFonts w:hint="eastAsia" w:ascii="仿宋_GB2312" w:hAnsi="仿宋" w:eastAsia="仿宋_GB2312"/>
          <w:sz w:val="28"/>
          <w:szCs w:val="28"/>
        </w:rPr>
        <w:t>】年以上。</w:t>
      </w:r>
    </w:p>
    <w:p>
      <w:pPr>
        <w:pStyle w:val="3"/>
        <w:tabs>
          <w:tab w:val="left" w:pos="6779"/>
        </w:tabs>
        <w:spacing w:line="520" w:lineRule="exact"/>
        <w:ind w:firstLine="562"/>
        <w:rPr>
          <w:rFonts w:ascii="仿宋_GB2312" w:hAnsi="仿宋" w:eastAsia="仿宋_GB2312"/>
          <w:bCs/>
          <w:color w:val="auto"/>
          <w:sz w:val="28"/>
          <w:szCs w:val="28"/>
        </w:rPr>
      </w:pPr>
      <w:bookmarkStart w:id="4" w:name="_Toc296551342"/>
      <w:r>
        <w:rPr>
          <w:rFonts w:hint="eastAsia" w:ascii="仿宋_GB2312" w:hAnsi="仿宋" w:eastAsia="仿宋_GB2312"/>
          <w:bCs/>
          <w:color w:val="auto"/>
          <w:sz w:val="28"/>
          <w:szCs w:val="28"/>
        </w:rPr>
        <w:t>第九条</w:t>
      </w:r>
      <w:r>
        <w:rPr>
          <w:rFonts w:ascii="仿宋_GB2312" w:hAnsi="仿宋" w:eastAsia="仿宋_GB2312"/>
          <w:bCs/>
          <w:color w:val="auto"/>
          <w:sz w:val="28"/>
          <w:szCs w:val="28"/>
        </w:rPr>
        <w:t xml:space="preserve"> </w:t>
      </w:r>
      <w:r>
        <w:rPr>
          <w:rFonts w:hint="eastAsia" w:ascii="仿宋_GB2312" w:hAnsi="仿宋" w:eastAsia="仿宋_GB2312"/>
          <w:bCs/>
          <w:color w:val="auto"/>
          <w:sz w:val="28"/>
          <w:szCs w:val="28"/>
        </w:rPr>
        <w:t>划款指令的发送、确认与执行</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9.1</w:t>
      </w:r>
      <w:r>
        <w:rPr>
          <w:rFonts w:hint="eastAsia" w:ascii="仿宋_GB2312" w:hAnsi="仿宋" w:eastAsia="仿宋_GB2312"/>
          <w:sz w:val="28"/>
          <w:szCs w:val="28"/>
        </w:rPr>
        <w:t>除本协议另有规定外，乙方根据各方</w:t>
      </w:r>
      <w:r>
        <w:rPr>
          <w:rFonts w:ascii="仿宋_GB2312" w:hAnsi="仿宋" w:eastAsia="仿宋_GB2312"/>
          <w:sz w:val="28"/>
          <w:szCs w:val="28"/>
        </w:rPr>
        <w:t>系统对接</w:t>
      </w:r>
      <w:r>
        <w:rPr>
          <w:rFonts w:hint="eastAsia" w:ascii="仿宋_GB2312" w:hAnsi="仿宋" w:eastAsia="仿宋_GB2312"/>
          <w:sz w:val="28"/>
          <w:szCs w:val="28"/>
        </w:rPr>
        <w:t>甲方发送</w:t>
      </w:r>
      <w:r>
        <w:rPr>
          <w:rFonts w:ascii="仿宋_GB2312" w:hAnsi="仿宋" w:eastAsia="仿宋_GB2312"/>
          <w:sz w:val="28"/>
          <w:szCs w:val="28"/>
        </w:rPr>
        <w:t>的电子</w:t>
      </w:r>
      <w:r>
        <w:rPr>
          <w:rFonts w:hint="eastAsia" w:ascii="仿宋_GB2312" w:hAnsi="仿宋" w:eastAsia="仿宋_GB2312"/>
          <w:sz w:val="28"/>
          <w:szCs w:val="28"/>
        </w:rPr>
        <w:t>划款指令书</w:t>
      </w:r>
      <w:r>
        <w:rPr>
          <w:rFonts w:ascii="仿宋_GB2312" w:hAnsi="仿宋" w:eastAsia="仿宋_GB2312"/>
          <w:sz w:val="28"/>
          <w:szCs w:val="28"/>
        </w:rPr>
        <w:t>，</w:t>
      </w:r>
      <w:r>
        <w:rPr>
          <w:rFonts w:hint="eastAsia" w:ascii="仿宋_GB2312" w:hAnsi="仿宋" w:eastAsia="仿宋_GB2312"/>
          <w:sz w:val="28"/>
          <w:szCs w:val="28"/>
        </w:rPr>
        <w:t>划拨理财产品项下的理财资金。</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9.2</w:t>
      </w:r>
      <w:r>
        <w:rPr>
          <w:rFonts w:hint="eastAsia" w:ascii="仿宋_GB2312" w:hAnsi="仿宋" w:eastAsia="仿宋_GB2312"/>
          <w:sz w:val="28"/>
          <w:szCs w:val="28"/>
        </w:rPr>
        <w:t>划款指令书被授权人的指定与变更</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9.2.1</w:t>
      </w:r>
      <w:r>
        <w:rPr>
          <w:rFonts w:hint="eastAsia" w:ascii="仿宋_GB2312" w:hAnsi="仿宋" w:eastAsia="仿宋_GB2312"/>
          <w:sz w:val="28"/>
          <w:szCs w:val="28"/>
        </w:rPr>
        <w:t>被授权人的指定</w:t>
      </w:r>
    </w:p>
    <w:p>
      <w:pPr>
        <w:pStyle w:val="18"/>
        <w:spacing w:before="0" w:after="0" w:line="520" w:lineRule="exact"/>
        <w:ind w:left="0" w:firstLine="560"/>
        <w:rPr>
          <w:rFonts w:ascii="仿宋_GB2312" w:hAnsi="仿宋" w:eastAsia="仿宋_GB2312"/>
          <w:sz w:val="28"/>
          <w:szCs w:val="28"/>
        </w:rPr>
      </w:pPr>
      <w:r>
        <w:rPr>
          <w:rFonts w:hint="eastAsia" w:ascii="仿宋_GB2312" w:hAnsi="仿宋" w:eastAsia="仿宋_GB2312"/>
          <w:sz w:val="28"/>
          <w:szCs w:val="28"/>
        </w:rPr>
        <w:t>甲方应向乙方提供书面的《划款指令授权通知书》（格式见附件二）用于</w:t>
      </w:r>
      <w:r>
        <w:rPr>
          <w:rFonts w:ascii="仿宋_GB2312" w:hAnsi="仿宋" w:eastAsia="仿宋_GB2312"/>
          <w:sz w:val="28"/>
          <w:szCs w:val="28"/>
        </w:rPr>
        <w:t>系统发生异常情况的应急处理</w:t>
      </w:r>
      <w:r>
        <w:rPr>
          <w:rFonts w:hint="eastAsia" w:ascii="仿宋_GB2312" w:hAnsi="仿宋" w:eastAsia="仿宋_GB2312"/>
          <w:sz w:val="28"/>
          <w:szCs w:val="28"/>
        </w:rPr>
        <w:t>，指定发送划款指令人员的名单，注明其相应权限，提供被授权人签字的样本。该通知应由甲方加盖公章或经公章</w:t>
      </w:r>
      <w:r>
        <w:rPr>
          <w:rFonts w:ascii="仿宋_GB2312" w:hAnsi="仿宋" w:eastAsia="仿宋_GB2312"/>
          <w:sz w:val="28"/>
          <w:szCs w:val="28"/>
        </w:rPr>
        <w:t>授权的业务章</w:t>
      </w:r>
      <w:r>
        <w:rPr>
          <w:rFonts w:hint="eastAsia" w:ascii="仿宋_GB2312" w:hAnsi="仿宋" w:eastAsia="仿宋_GB2312"/>
          <w:sz w:val="28"/>
          <w:szCs w:val="28"/>
        </w:rPr>
        <w:t>并由其法定代表人或其授权代理人签字。乙方在收到上述通知传真件或扫描件后生效。</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9.2.2</w:t>
      </w:r>
      <w:r>
        <w:rPr>
          <w:rFonts w:hint="eastAsia" w:ascii="仿宋_GB2312" w:hAnsi="仿宋" w:eastAsia="仿宋_GB2312"/>
          <w:sz w:val="28"/>
          <w:szCs w:val="28"/>
        </w:rPr>
        <w:t>被授权人的变更</w:t>
      </w:r>
    </w:p>
    <w:p>
      <w:pPr>
        <w:pStyle w:val="18"/>
        <w:spacing w:before="0" w:after="0" w:line="520" w:lineRule="exact"/>
        <w:ind w:left="0" w:firstLine="560"/>
        <w:rPr>
          <w:rFonts w:ascii="仿宋_GB2312" w:hAnsi="仿宋" w:eastAsia="仿宋_GB2312"/>
          <w:sz w:val="28"/>
          <w:szCs w:val="28"/>
        </w:rPr>
      </w:pPr>
      <w:r>
        <w:rPr>
          <w:rFonts w:hint="eastAsia" w:ascii="仿宋_GB2312" w:hAnsi="仿宋" w:eastAsia="仿宋_GB2312"/>
          <w:sz w:val="28"/>
          <w:szCs w:val="28"/>
        </w:rPr>
        <w:t>甲方更换被授权人或终止对被授权人的授权时，必须至少提前一个工作日以发送邮件或传真的方式向乙方发出由甲方加盖公章或经公章</w:t>
      </w:r>
      <w:r>
        <w:rPr>
          <w:rFonts w:ascii="仿宋_GB2312" w:hAnsi="仿宋" w:eastAsia="仿宋_GB2312"/>
          <w:sz w:val="28"/>
          <w:szCs w:val="28"/>
        </w:rPr>
        <w:t>授权的业务章</w:t>
      </w:r>
      <w:r>
        <w:rPr>
          <w:rFonts w:hint="eastAsia" w:ascii="仿宋_GB2312" w:hAnsi="仿宋" w:eastAsia="仿宋_GB2312"/>
          <w:sz w:val="28"/>
          <w:szCs w:val="28"/>
        </w:rPr>
        <w:t>并由其法定代表人或其授权代理人签字的变更后的《划款指令授权通知书》，乙方收到甲方传真或邮件的工作日当日，新的《划款指令授权通知书》开始生效。</w:t>
      </w:r>
    </w:p>
    <w:p>
      <w:pPr>
        <w:pStyle w:val="18"/>
        <w:spacing w:before="0" w:after="0" w:line="520" w:lineRule="exact"/>
        <w:ind w:left="0" w:firstLine="560"/>
        <w:rPr>
          <w:rFonts w:ascii="仿宋_GB2312" w:hAnsi="仿宋" w:eastAsia="仿宋_GB2312"/>
          <w:sz w:val="28"/>
          <w:szCs w:val="28"/>
        </w:rPr>
      </w:pPr>
      <w:r>
        <w:rPr>
          <w:rFonts w:hint="eastAsia" w:ascii="仿宋_GB2312" w:hAnsi="仿宋" w:eastAsia="仿宋_GB2312"/>
          <w:sz w:val="28"/>
          <w:szCs w:val="28"/>
        </w:rPr>
        <w:t>对于经本协议规定的授权程序授权后被授权人在授权权限内发出的指令，甲方不得否认其效力。在前款所述变更通知生效之前，乙方所接收的原被授权人所签发的划款指令书及其它文件仍然完全有效。</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9.2.3</w:t>
      </w:r>
      <w:r>
        <w:rPr>
          <w:rFonts w:hint="eastAsia" w:ascii="仿宋_GB2312" w:hAnsi="仿宋" w:eastAsia="仿宋_GB2312"/>
          <w:sz w:val="28"/>
          <w:szCs w:val="28"/>
        </w:rPr>
        <w:t>甲方、乙方对授权通知及其更改负有保密义务，其内容不得向指令发送人员及相关操作人员以外的任何人披露、泄露。</w:t>
      </w:r>
    </w:p>
    <w:p>
      <w:pPr>
        <w:pStyle w:val="18"/>
        <w:spacing w:line="520" w:lineRule="exact"/>
        <w:ind w:left="0" w:firstLine="560" w:firstLineChars="200"/>
        <w:rPr>
          <w:rFonts w:hint="eastAsia" w:ascii="仿宋_GB2312" w:hAnsi="仿宋" w:eastAsia="仿宋_GB2312" w:cstheme="minorBidi"/>
          <w:sz w:val="28"/>
          <w:szCs w:val="28"/>
        </w:rPr>
      </w:pPr>
      <w:r>
        <w:rPr>
          <w:rFonts w:hint="eastAsia" w:ascii="仿宋_GB2312" w:hAnsi="仿宋" w:eastAsia="仿宋_GB2312"/>
          <w:sz w:val="28"/>
          <w:szCs w:val="28"/>
        </w:rPr>
        <w:t>9.2.4</w:t>
      </w:r>
      <w:r>
        <w:rPr>
          <w:rFonts w:hint="eastAsia" w:ascii="仿宋_GB2312" w:hAnsi="仿宋" w:eastAsia="仿宋_GB2312" w:cstheme="minorBidi"/>
          <w:sz w:val="28"/>
          <w:szCs w:val="28"/>
        </w:rPr>
        <w:t>乙方采用邮箱白名单方式控制指令接收风险。划款指令应通过约定的指定邮箱向乙方发送，未通过上述指定邮箱发送的指令，乙方有权拒绝执行。如甲方需变联系员及邮箱，需提前</w:t>
      </w:r>
      <w:r>
        <w:rPr>
          <w:rFonts w:hint="eastAsia" w:ascii="仿宋_GB2312" w:hAnsi="仿宋" w:eastAsia="仿宋_GB2312" w:cstheme="minorBidi"/>
          <w:sz w:val="28"/>
          <w:szCs w:val="28"/>
          <w:lang w:eastAsia="zh-CN"/>
        </w:rPr>
        <w:t>1</w:t>
      </w:r>
      <w:r>
        <w:rPr>
          <w:rFonts w:hint="eastAsia" w:ascii="仿宋_GB2312" w:hAnsi="仿宋" w:eastAsia="仿宋_GB2312" w:cstheme="minorBidi"/>
          <w:sz w:val="28"/>
          <w:szCs w:val="28"/>
        </w:rPr>
        <w:t>个工作日向乙方提供变更说明或业务联系人表，并加盖甲方印章，为乙方履行变更程序预留足够时间。</w:t>
      </w:r>
    </w:p>
    <w:p>
      <w:pPr>
        <w:pBdr>
          <w:top w:val="none" w:color="000000" w:sz="0" w:space="0"/>
          <w:left w:val="none" w:color="000000" w:sz="0" w:space="0"/>
          <w:bottom w:val="none" w:color="000000" w:sz="0" w:space="0"/>
          <w:right w:val="none" w:color="000000" w:sz="0" w:space="0"/>
        </w:pBdr>
        <w:rPr>
          <w:rFonts w:ascii="华文仿宋" w:hAnsi="华文仿宋" w:eastAsia="华文仿宋" w:cs="华文仿宋"/>
          <w:sz w:val="28"/>
        </w:rPr>
      </w:pPr>
    </w:p>
    <w:p>
      <w:pPr>
        <w:pStyle w:val="18"/>
        <w:spacing w:before="0" w:after="0" w:line="520" w:lineRule="exact"/>
        <w:ind w:left="0" w:firstLine="560"/>
        <w:rPr>
          <w:rFonts w:ascii="华文仿宋" w:hAnsi="华文仿宋" w:eastAsia="华文仿宋" w:cs="华文仿宋"/>
          <w:sz w:val="28"/>
          <w:szCs w:val="28"/>
        </w:rPr>
      </w:pP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9.3</w:t>
      </w:r>
      <w:r>
        <w:rPr>
          <w:rFonts w:hint="eastAsia" w:ascii="仿宋_GB2312" w:hAnsi="仿宋" w:eastAsia="仿宋_GB2312"/>
          <w:sz w:val="28"/>
          <w:szCs w:val="28"/>
        </w:rPr>
        <w:t>划款指令的发送和确认</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9.3.1</w:t>
      </w:r>
      <w:r>
        <w:rPr>
          <w:rFonts w:hint="eastAsia" w:ascii="仿宋_GB2312" w:hAnsi="仿宋" w:eastAsia="仿宋_GB2312"/>
          <w:sz w:val="28"/>
          <w:szCs w:val="28"/>
        </w:rPr>
        <w:t>理财产品划款指令必须载明下列内容：收款人、开户行、账号、金额、划款方式、用途、被授权人签字、日期、付款人名称、账号、开户行和其他需要载明的事项（格式见附件一）。甲方发送指令时应同时向乙方发送必要的投资合同或费用发票等划款证明文件的扫描件。</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9.3.2</w:t>
      </w:r>
      <w:r>
        <w:rPr>
          <w:rFonts w:hint="eastAsia" w:ascii="仿宋_GB2312" w:hAnsi="仿宋" w:eastAsia="仿宋_GB2312"/>
          <w:sz w:val="28"/>
          <w:szCs w:val="28"/>
        </w:rPr>
        <w:t>甲方的划款指令通过电子指令或采用其它双方确认方式的</w:t>
      </w:r>
      <w:r>
        <w:rPr>
          <w:rFonts w:ascii="仿宋_GB2312" w:hAnsi="仿宋" w:eastAsia="仿宋_GB2312"/>
          <w:sz w:val="28"/>
          <w:szCs w:val="28"/>
        </w:rPr>
        <w:t>指令以及交易凭证</w:t>
      </w:r>
      <w:r>
        <w:rPr>
          <w:rFonts w:hint="eastAsia" w:ascii="仿宋_GB2312" w:hAnsi="仿宋" w:eastAsia="仿宋_GB2312"/>
          <w:sz w:val="28"/>
          <w:szCs w:val="28"/>
        </w:rPr>
        <w:t>发送给乙</w:t>
      </w:r>
      <w:r>
        <w:rPr>
          <w:rFonts w:ascii="仿宋_GB2312" w:hAnsi="仿宋" w:eastAsia="仿宋_GB2312"/>
          <w:sz w:val="28"/>
          <w:szCs w:val="28"/>
        </w:rPr>
        <w:t>方</w:t>
      </w:r>
      <w:r>
        <w:rPr>
          <w:rFonts w:hint="eastAsia" w:ascii="仿宋_GB2312" w:hAnsi="仿宋" w:eastAsia="仿宋_GB2312"/>
          <w:sz w:val="28"/>
          <w:szCs w:val="28"/>
        </w:rPr>
        <w:t>，同时通过电话或邮件或其他双方认可的方式向乙方确认。</w:t>
      </w:r>
    </w:p>
    <w:p>
      <w:pPr>
        <w:pStyle w:val="18"/>
        <w:spacing w:before="0" w:after="0" w:line="520" w:lineRule="exact"/>
        <w:ind w:left="0" w:firstLine="560"/>
        <w:rPr>
          <w:rFonts w:ascii="仿宋_GB2312" w:hAnsi="仿宋" w:eastAsia="仿宋_GB2312"/>
          <w:sz w:val="28"/>
          <w:szCs w:val="28"/>
        </w:rPr>
      </w:pPr>
      <w:r>
        <w:rPr>
          <w:rFonts w:hint="eastAsia" w:ascii="仿宋_GB2312" w:hAnsi="仿宋" w:eastAsia="仿宋_GB2312"/>
          <w:sz w:val="28"/>
          <w:szCs w:val="28"/>
        </w:rPr>
        <w:t>如因系统原因导致无法发送电子指令，甲方应通过传真、邮件或双方约定的其他方式将</w:t>
      </w:r>
      <w:r>
        <w:rPr>
          <w:rFonts w:ascii="仿宋_GB2312" w:hAnsi="仿宋" w:eastAsia="仿宋_GB2312"/>
          <w:sz w:val="28"/>
          <w:szCs w:val="28"/>
        </w:rPr>
        <w:t>纸质划款指令发送</w:t>
      </w:r>
      <w:r>
        <w:rPr>
          <w:rFonts w:hint="eastAsia" w:ascii="仿宋_GB2312" w:hAnsi="仿宋" w:eastAsia="仿宋_GB2312"/>
          <w:sz w:val="28"/>
          <w:szCs w:val="28"/>
        </w:rPr>
        <w:t>至乙方。甲方发送纸质指令后应及时通过电话或</w:t>
      </w:r>
      <w:r>
        <w:rPr>
          <w:rFonts w:ascii="仿宋_GB2312" w:hAnsi="仿宋" w:eastAsia="仿宋_GB2312"/>
          <w:sz w:val="28"/>
          <w:szCs w:val="28"/>
        </w:rPr>
        <w:t>双方约定的其他方式</w:t>
      </w:r>
      <w:r>
        <w:rPr>
          <w:rFonts w:hint="eastAsia" w:ascii="仿宋_GB2312" w:hAnsi="仿宋" w:eastAsia="仿宋_GB2312"/>
          <w:sz w:val="28"/>
          <w:szCs w:val="28"/>
        </w:rPr>
        <w:t>向乙方确认。甲方保留划款指令正本，乙方保留划款指令正本传真或扫描件。划款指令正本应与传真或扫描件内容一致，若有不一致的，以传真件或扫描件的内容为准。</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9.3.3</w:t>
      </w:r>
      <w:r>
        <w:rPr>
          <w:rFonts w:hint="eastAsia" w:ascii="仿宋_GB2312" w:hAnsi="仿宋" w:eastAsia="仿宋_GB2312"/>
          <w:sz w:val="28"/>
          <w:szCs w:val="28"/>
        </w:rPr>
        <w:t>对于划款指令，乙方应对划款指令的被授权人签字与签字样本是否相符（下称“表面一致性”）进行审查，如发现问题，乙方有权不予执行，但应及时通知甲方。若划款指令表面一致性验证无误，乙方应按照划款指令的要求及时执行，不得延误。若存在异议或不符，乙方应通知甲方。甲方发送指令时，应充分考虑乙方执行指令的必要操作时间和银行结算的在途时间。甲方划款指令于工作日当日</w:t>
      </w:r>
      <w:r>
        <w:rPr>
          <w:rFonts w:ascii="仿宋_GB2312" w:hAnsi="仿宋" w:eastAsia="仿宋_GB2312"/>
          <w:sz w:val="28"/>
          <w:szCs w:val="28"/>
        </w:rPr>
        <w:t xml:space="preserve"> 【16:00】</w:t>
      </w:r>
      <w:r>
        <w:rPr>
          <w:rFonts w:hint="eastAsia" w:ascii="仿宋_GB2312" w:hAnsi="仿宋" w:eastAsia="仿宋_GB2312"/>
          <w:sz w:val="28"/>
          <w:szCs w:val="28"/>
        </w:rPr>
        <w:t>之前到达乙方的，乙方当日审核出款；甲方划款指令于当日【</w:t>
      </w:r>
      <w:r>
        <w:rPr>
          <w:rFonts w:ascii="仿宋_GB2312" w:hAnsi="仿宋" w:eastAsia="仿宋_GB2312"/>
          <w:sz w:val="28"/>
          <w:szCs w:val="28"/>
        </w:rPr>
        <w:t xml:space="preserve"> 16:00】</w:t>
      </w:r>
      <w:r>
        <w:rPr>
          <w:rFonts w:hint="eastAsia" w:ascii="仿宋_GB2312" w:hAnsi="仿宋" w:eastAsia="仿宋_GB2312"/>
          <w:sz w:val="28"/>
          <w:szCs w:val="28"/>
        </w:rPr>
        <w:t>以后到达乙方的，乙方应尽最大努力办理划款，但不保证当天完成划款。若因人民银行大额支付系统关闭等非乙方所能控制因素导致当日无法办理划款时，乙方于次一工作日对甲方重新出具的划款指令进行优先处理。乙方可以因投资监督需要</w:t>
      </w:r>
      <w:r>
        <w:rPr>
          <w:rFonts w:ascii="仿宋_GB2312" w:hAnsi="仿宋" w:eastAsia="仿宋_GB2312"/>
          <w:sz w:val="28"/>
          <w:szCs w:val="28"/>
        </w:rPr>
        <w:t>要求</w:t>
      </w:r>
      <w:r>
        <w:rPr>
          <w:rFonts w:hint="eastAsia" w:ascii="仿宋_GB2312" w:hAnsi="仿宋" w:eastAsia="仿宋_GB2312"/>
          <w:sz w:val="28"/>
          <w:szCs w:val="28"/>
        </w:rPr>
        <w:t>甲方另行发送相关交易解释、说明等文件，若为基金直销账户说明函、资管计划合同等交易材料，由甲方在首次交易时提供。</w:t>
      </w:r>
      <w:r>
        <w:rPr>
          <w:rFonts w:ascii="仿宋_GB2312" w:hAnsi="仿宋" w:eastAsia="仿宋_GB2312"/>
          <w:sz w:val="28"/>
          <w:szCs w:val="28"/>
        </w:rPr>
        <w:t>同时</w:t>
      </w:r>
      <w:r>
        <w:rPr>
          <w:rFonts w:hint="eastAsia" w:ascii="仿宋_GB2312" w:hAnsi="仿宋" w:eastAsia="仿宋_GB2312"/>
          <w:sz w:val="28"/>
          <w:szCs w:val="28"/>
        </w:rPr>
        <w:t>，视乙方收到上述有效文件的时间为乙方收到划款指令的时间。</w:t>
      </w:r>
    </w:p>
    <w:p>
      <w:pPr>
        <w:pStyle w:val="18"/>
        <w:spacing w:before="0" w:after="0" w:line="520" w:lineRule="exact"/>
        <w:ind w:left="0" w:firstLine="560"/>
        <w:rPr>
          <w:rFonts w:ascii="仿宋_GB2312" w:hAnsi="仿宋" w:eastAsia="仿宋_GB2312"/>
          <w:sz w:val="28"/>
          <w:szCs w:val="28"/>
        </w:rPr>
      </w:pPr>
      <w:r>
        <w:rPr>
          <w:rFonts w:hint="eastAsia" w:ascii="仿宋_GB2312" w:hAnsi="仿宋" w:eastAsia="仿宋_GB2312"/>
          <w:sz w:val="28"/>
          <w:szCs w:val="28"/>
        </w:rPr>
        <w:t>如遇紧急划款需求，甲方须提前将有关情况告知乙方，乙方应积极配合甲方办理划款。</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9.3.4</w:t>
      </w:r>
      <w:r>
        <w:rPr>
          <w:rFonts w:hint="eastAsia" w:ascii="仿宋_GB2312" w:hAnsi="仿宋" w:eastAsia="仿宋_GB2312"/>
          <w:sz w:val="28"/>
          <w:szCs w:val="28"/>
        </w:rPr>
        <w:t>甲方向乙方下达划款指令时，甲方应确保理财产品相应的资金账户有足够的资金余额，并通过电话或</w:t>
      </w:r>
      <w:r>
        <w:rPr>
          <w:rFonts w:ascii="仿宋_GB2312" w:hAnsi="仿宋" w:eastAsia="仿宋_GB2312"/>
          <w:sz w:val="28"/>
          <w:szCs w:val="28"/>
        </w:rPr>
        <w:t>双方约定的其他方式</w:t>
      </w:r>
      <w:r>
        <w:rPr>
          <w:rFonts w:hint="eastAsia" w:ascii="仿宋_GB2312" w:hAnsi="仿宋" w:eastAsia="仿宋_GB2312"/>
          <w:sz w:val="28"/>
          <w:szCs w:val="28"/>
        </w:rPr>
        <w:t>向乙方确认。对超出资金账户余额的划款指令，乙方可不予执行但应及时通知管理人。</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9.3.5</w:t>
      </w:r>
      <w:r>
        <w:rPr>
          <w:rFonts w:hint="eastAsia" w:ascii="仿宋_GB2312" w:hAnsi="仿宋" w:eastAsia="仿宋_GB2312"/>
          <w:sz w:val="28"/>
          <w:szCs w:val="28"/>
        </w:rPr>
        <w:t>对于指令发送人员发出的并被执行的指令，甲方不得否认其效力。</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9.4</w:t>
      </w:r>
      <w:r>
        <w:rPr>
          <w:rFonts w:hint="eastAsia" w:ascii="仿宋_GB2312" w:hAnsi="仿宋" w:eastAsia="仿宋_GB2312"/>
          <w:sz w:val="28"/>
          <w:szCs w:val="28"/>
        </w:rPr>
        <w:t>乙方执行划款指令的责任</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9.4.1</w:t>
      </w:r>
      <w:r>
        <w:rPr>
          <w:rFonts w:hint="eastAsia" w:ascii="仿宋_GB2312" w:hAnsi="仿宋" w:eastAsia="仿宋_GB2312"/>
          <w:sz w:val="28"/>
          <w:szCs w:val="28"/>
        </w:rPr>
        <w:t>乙方因故意或过失导致未正确执行甲方合法合规且符合本协议约定的划款指令或未按本协议第</w:t>
      </w:r>
      <w:r>
        <w:rPr>
          <w:rFonts w:ascii="仿宋_GB2312" w:hAnsi="仿宋" w:eastAsia="仿宋_GB2312"/>
          <w:sz w:val="28"/>
          <w:szCs w:val="28"/>
        </w:rPr>
        <w:t>9.3.3</w:t>
      </w:r>
      <w:r>
        <w:rPr>
          <w:rFonts w:hint="eastAsia" w:ascii="仿宋_GB2312" w:hAnsi="仿宋" w:eastAsia="仿宋_GB2312"/>
          <w:sz w:val="28"/>
          <w:szCs w:val="28"/>
        </w:rPr>
        <w:t>条的约定对划款指令进行表面一致性审查而使本理财产品财产的利益受到损害的，乙方应承担赔偿责任。</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9.4.2</w:t>
      </w:r>
      <w:r>
        <w:rPr>
          <w:rFonts w:hint="eastAsia" w:ascii="仿宋_GB2312" w:hAnsi="仿宋" w:eastAsia="仿宋_GB2312"/>
          <w:sz w:val="28"/>
          <w:szCs w:val="28"/>
        </w:rPr>
        <w:t>乙方不得在划款指令确定的授权范围外从事相关资金划转活动，如乙方超越授权划款指令确定的范围对托管资金进行了处分，由此造成的损失由乙方承担，由此产生的收益归理财产品财产所有。</w:t>
      </w:r>
    </w:p>
    <w:p>
      <w:pPr>
        <w:pStyle w:val="18"/>
        <w:spacing w:before="0" w:after="0" w:line="520" w:lineRule="exact"/>
        <w:ind w:left="0" w:firstLine="560"/>
        <w:rPr>
          <w:rFonts w:ascii="仿宋" w:hAnsi="仿宋" w:eastAsia="仿宋"/>
          <w:sz w:val="28"/>
          <w:szCs w:val="28"/>
        </w:rPr>
      </w:pPr>
      <w:r>
        <w:rPr>
          <w:rFonts w:ascii="仿宋_GB2312" w:hAnsi="仿宋" w:eastAsia="仿宋_GB2312"/>
          <w:sz w:val="28"/>
          <w:szCs w:val="28"/>
        </w:rPr>
        <w:t>9.4.3</w:t>
      </w:r>
      <w:r>
        <w:rPr>
          <w:rFonts w:hint="eastAsia" w:ascii="仿宋_GB2312" w:hAnsi="仿宋" w:eastAsia="仿宋_GB2312"/>
          <w:sz w:val="28"/>
          <w:szCs w:val="28"/>
        </w:rPr>
        <w:t>乙方根据甲方的指令或授权办理账户资金划拨。如需甲方协助，乙方应及时告知甲方，甲方应及时协助乙方办理划款。</w:t>
      </w:r>
      <w:bookmarkEnd w:id="4"/>
    </w:p>
    <w:p>
      <w:pPr>
        <w:pStyle w:val="3"/>
        <w:tabs>
          <w:tab w:val="left" w:pos="6779"/>
        </w:tabs>
        <w:spacing w:line="520" w:lineRule="exact"/>
        <w:ind w:firstLine="562"/>
        <w:rPr>
          <w:rFonts w:ascii="仿宋_GB2312" w:hAnsi="仿宋" w:eastAsia="仿宋_GB2312"/>
          <w:bCs/>
          <w:color w:val="auto"/>
          <w:sz w:val="28"/>
          <w:szCs w:val="28"/>
        </w:rPr>
      </w:pPr>
      <w:bookmarkStart w:id="5" w:name="_Toc296551343"/>
      <w:r>
        <w:rPr>
          <w:rFonts w:hint="eastAsia" w:ascii="仿宋_GB2312" w:hAnsi="仿宋" w:eastAsia="仿宋_GB2312"/>
          <w:bCs/>
          <w:color w:val="auto"/>
          <w:sz w:val="28"/>
          <w:szCs w:val="28"/>
        </w:rPr>
        <w:t>第十条</w:t>
      </w:r>
      <w:r>
        <w:rPr>
          <w:rFonts w:ascii="仿宋_GB2312" w:hAnsi="仿宋" w:eastAsia="仿宋_GB2312"/>
          <w:bCs/>
          <w:color w:val="auto"/>
          <w:sz w:val="28"/>
          <w:szCs w:val="28"/>
        </w:rPr>
        <w:t xml:space="preserve"> </w:t>
      </w:r>
      <w:bookmarkEnd w:id="5"/>
      <w:r>
        <w:rPr>
          <w:rFonts w:hint="eastAsia" w:ascii="仿宋_GB2312" w:hAnsi="仿宋" w:eastAsia="仿宋_GB2312"/>
          <w:bCs/>
          <w:color w:val="auto"/>
          <w:sz w:val="28"/>
          <w:szCs w:val="28"/>
        </w:rPr>
        <w:t>账务处理及账务核对</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 xml:space="preserve">10.1 </w:t>
      </w:r>
      <w:r>
        <w:rPr>
          <w:rFonts w:hint="eastAsia" w:ascii="仿宋_GB2312" w:hAnsi="仿宋" w:eastAsia="仿宋_GB2312"/>
          <w:sz w:val="28"/>
          <w:szCs w:val="28"/>
        </w:rPr>
        <w:t>甲、乙双方根据相关《企业会计准则》及甲、乙双方的约定，分别对理财产品进行账务处理。甲方为理财产品的会计主</w:t>
      </w:r>
      <w:r>
        <w:rPr>
          <w:rFonts w:ascii="仿宋_GB2312" w:hAnsi="仿宋" w:eastAsia="仿宋_GB2312"/>
          <w:sz w:val="28"/>
          <w:szCs w:val="28"/>
        </w:rPr>
        <w:t>核算</w:t>
      </w:r>
      <w:r>
        <w:rPr>
          <w:rFonts w:hint="eastAsia" w:ascii="仿宋_GB2312" w:hAnsi="仿宋" w:eastAsia="仿宋_GB2312"/>
          <w:sz w:val="28"/>
          <w:szCs w:val="28"/>
        </w:rPr>
        <w:t>责任人，乙</w:t>
      </w:r>
      <w:r>
        <w:rPr>
          <w:rFonts w:ascii="仿宋_GB2312" w:hAnsi="仿宋" w:eastAsia="仿宋_GB2312"/>
          <w:sz w:val="28"/>
          <w:szCs w:val="28"/>
        </w:rPr>
        <w:t>方为理财产品的会计辅</w:t>
      </w:r>
      <w:r>
        <w:rPr>
          <w:rFonts w:hint="eastAsia" w:ascii="仿宋_GB2312" w:hAnsi="仿宋" w:eastAsia="仿宋_GB2312"/>
          <w:sz w:val="28"/>
          <w:szCs w:val="28"/>
        </w:rPr>
        <w:t>核算</w:t>
      </w:r>
      <w:r>
        <w:rPr>
          <w:rFonts w:ascii="仿宋_GB2312" w:hAnsi="仿宋" w:eastAsia="仿宋_GB2312"/>
          <w:sz w:val="28"/>
          <w:szCs w:val="28"/>
        </w:rPr>
        <w:t>责任人，</w:t>
      </w:r>
      <w:r>
        <w:rPr>
          <w:rFonts w:hint="eastAsia" w:ascii="仿宋_GB2312" w:hAnsi="仿宋" w:eastAsia="仿宋_GB2312"/>
          <w:sz w:val="28"/>
          <w:szCs w:val="28"/>
        </w:rPr>
        <w:t>乙</w:t>
      </w:r>
      <w:r>
        <w:rPr>
          <w:rFonts w:ascii="仿宋_GB2312" w:hAnsi="仿宋" w:eastAsia="仿宋_GB2312"/>
          <w:sz w:val="28"/>
          <w:szCs w:val="28"/>
        </w:rPr>
        <w:t>方有</w:t>
      </w:r>
      <w:r>
        <w:rPr>
          <w:rFonts w:hint="eastAsia" w:ascii="仿宋_GB2312" w:hAnsi="仿宋" w:eastAsia="仿宋_GB2312"/>
          <w:sz w:val="28"/>
          <w:szCs w:val="28"/>
        </w:rPr>
        <w:t>义务</w:t>
      </w:r>
      <w:r>
        <w:rPr>
          <w:rFonts w:ascii="仿宋_GB2312" w:hAnsi="仿宋" w:eastAsia="仿宋_GB2312"/>
          <w:sz w:val="28"/>
          <w:szCs w:val="28"/>
        </w:rPr>
        <w:t>对主核算的财务结果复核</w:t>
      </w:r>
      <w:r>
        <w:rPr>
          <w:rFonts w:hint="eastAsia" w:ascii="仿宋_GB2312" w:hAnsi="仿宋" w:eastAsia="仿宋_GB2312"/>
          <w:sz w:val="28"/>
          <w:szCs w:val="28"/>
        </w:rPr>
        <w:t>。</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 xml:space="preserve">10.2 </w:t>
      </w:r>
      <w:r>
        <w:rPr>
          <w:rFonts w:hint="eastAsia" w:ascii="仿宋_GB2312" w:hAnsi="仿宋" w:eastAsia="仿宋_GB2312"/>
          <w:sz w:val="28"/>
          <w:szCs w:val="28"/>
        </w:rPr>
        <w:t>账务核对</w:t>
      </w:r>
    </w:p>
    <w:p>
      <w:pPr>
        <w:pStyle w:val="18"/>
        <w:spacing w:before="0" w:after="0" w:line="520" w:lineRule="exact"/>
        <w:ind w:left="0" w:firstLine="560"/>
        <w:rPr>
          <w:rFonts w:ascii="仿宋_GB2312" w:hAnsi="仿宋" w:eastAsia="仿宋_GB2312"/>
          <w:sz w:val="28"/>
          <w:szCs w:val="28"/>
        </w:rPr>
      </w:pPr>
      <w:r>
        <w:rPr>
          <w:rFonts w:hint="eastAsia" w:ascii="仿宋_GB2312" w:hAnsi="仿宋" w:eastAsia="仿宋_GB2312"/>
          <w:sz w:val="28"/>
          <w:szCs w:val="28"/>
        </w:rPr>
        <w:t>甲乙双方于每个工作日及双方约定的其他日期通过系统对接</w:t>
      </w:r>
      <w:r>
        <w:rPr>
          <w:rFonts w:ascii="仿宋_GB2312" w:hAnsi="仿宋" w:eastAsia="仿宋_GB2312"/>
          <w:sz w:val="28"/>
          <w:szCs w:val="28"/>
        </w:rPr>
        <w:t>实现</w:t>
      </w:r>
      <w:r>
        <w:rPr>
          <w:rFonts w:hint="eastAsia" w:ascii="仿宋_GB2312" w:hAnsi="仿宋" w:eastAsia="仿宋_GB2312"/>
          <w:sz w:val="28"/>
          <w:szCs w:val="28"/>
        </w:rPr>
        <w:t>理财产品账务自动核对。乙方核对后，系统</w:t>
      </w:r>
      <w:r>
        <w:rPr>
          <w:rFonts w:ascii="仿宋_GB2312" w:hAnsi="仿宋" w:eastAsia="仿宋_GB2312"/>
          <w:sz w:val="28"/>
          <w:szCs w:val="28"/>
        </w:rPr>
        <w:t>进行核对结果的反馈</w:t>
      </w:r>
      <w:r>
        <w:rPr>
          <w:rFonts w:hint="eastAsia" w:ascii="仿宋_GB2312" w:hAnsi="仿宋" w:eastAsia="仿宋_GB2312"/>
          <w:sz w:val="28"/>
          <w:szCs w:val="28"/>
        </w:rPr>
        <w:t>。双方核对账务若不一致，乙方应及时告知甲方并共同查明原因，及时调整账务。如涉及委托人和受益人利益的，由甲方负责对委托人和受益人进行信息披露，并确定调整方案。</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10.3</w:t>
      </w:r>
      <w:r>
        <w:rPr>
          <w:rFonts w:hint="eastAsia" w:ascii="仿宋_GB2312" w:hAnsi="仿宋" w:eastAsia="仿宋_GB2312"/>
          <w:sz w:val="28"/>
          <w:szCs w:val="28"/>
        </w:rPr>
        <w:t>甲、乙双方对所管理、托管的理财产品应当以理财产品为会计核算主体，单独管理、单独建账、单独核算。乙方</w:t>
      </w:r>
      <w:r>
        <w:rPr>
          <w:rFonts w:ascii="仿宋_GB2312" w:hAnsi="仿宋" w:eastAsia="仿宋_GB2312"/>
          <w:sz w:val="28"/>
          <w:szCs w:val="28"/>
        </w:rPr>
        <w:t>应</w:t>
      </w:r>
      <w:r>
        <w:rPr>
          <w:rFonts w:hint="eastAsia" w:ascii="仿宋_GB2312" w:hAnsi="仿宋" w:eastAsia="仿宋_GB2312"/>
          <w:sz w:val="28"/>
          <w:szCs w:val="28"/>
        </w:rPr>
        <w:t>及时向各交易</w:t>
      </w:r>
      <w:r>
        <w:rPr>
          <w:rFonts w:ascii="仿宋_GB2312" w:hAnsi="仿宋" w:eastAsia="仿宋_GB2312"/>
          <w:sz w:val="28"/>
          <w:szCs w:val="28"/>
        </w:rPr>
        <w:t>场</w:t>
      </w:r>
      <w:r>
        <w:rPr>
          <w:rFonts w:hint="eastAsia" w:ascii="仿宋_GB2312" w:hAnsi="仿宋" w:eastAsia="仿宋_GB2312"/>
          <w:sz w:val="28"/>
          <w:szCs w:val="28"/>
        </w:rPr>
        <w:t>所或经纪</w:t>
      </w:r>
      <w:r>
        <w:rPr>
          <w:rFonts w:ascii="仿宋_GB2312" w:hAnsi="仿宋" w:eastAsia="仿宋_GB2312"/>
          <w:sz w:val="28"/>
          <w:szCs w:val="28"/>
        </w:rPr>
        <w:t>业务服务商获取</w:t>
      </w:r>
      <w:r>
        <w:rPr>
          <w:rFonts w:hint="eastAsia" w:ascii="仿宋_GB2312" w:hAnsi="仿宋" w:eastAsia="仿宋_GB2312"/>
          <w:sz w:val="28"/>
          <w:szCs w:val="28"/>
        </w:rPr>
        <w:t>交易数据。乙方应独立获取数据、定期核对债券、股票等场内</w:t>
      </w:r>
      <w:commentRangeStart w:id="1"/>
      <w:r>
        <w:rPr>
          <w:rFonts w:hint="eastAsia" w:ascii="仿宋_GB2312" w:hAnsi="仿宋" w:eastAsia="仿宋_GB2312"/>
          <w:sz w:val="28"/>
          <w:szCs w:val="28"/>
        </w:rPr>
        <w:t>持</w:t>
      </w:r>
      <w:commentRangeEnd w:id="1"/>
      <w:r>
        <w:commentReference w:id="1"/>
      </w:r>
      <w:r>
        <w:rPr>
          <w:rFonts w:hint="eastAsia" w:ascii="仿宋_GB2312" w:hAnsi="仿宋" w:eastAsia="仿宋_GB2312"/>
          <w:sz w:val="28"/>
          <w:szCs w:val="28"/>
        </w:rPr>
        <w:t>仓数据。如无法</w:t>
      </w:r>
      <w:r>
        <w:rPr>
          <w:rFonts w:ascii="仿宋_GB2312" w:hAnsi="仿宋" w:eastAsia="仿宋_GB2312"/>
          <w:sz w:val="28"/>
          <w:szCs w:val="28"/>
        </w:rPr>
        <w:t>获取的</w:t>
      </w:r>
      <w:r>
        <w:rPr>
          <w:rFonts w:hint="eastAsia" w:ascii="仿宋_GB2312" w:hAnsi="仿宋" w:eastAsia="仿宋_GB2312"/>
          <w:sz w:val="28"/>
          <w:szCs w:val="28"/>
        </w:rPr>
        <w:t>，</w:t>
      </w:r>
      <w:r>
        <w:rPr>
          <w:rFonts w:ascii="仿宋_GB2312" w:hAnsi="仿宋" w:eastAsia="仿宋_GB2312"/>
          <w:sz w:val="28"/>
          <w:szCs w:val="28"/>
        </w:rPr>
        <w:t>甲方可提供相应协助</w:t>
      </w:r>
      <w:r>
        <w:rPr>
          <w:rFonts w:hint="eastAsia" w:ascii="仿宋_GB2312" w:hAnsi="仿宋" w:eastAsia="仿宋_GB2312"/>
          <w:sz w:val="28"/>
          <w:szCs w:val="28"/>
        </w:rPr>
        <w:t>。</w:t>
      </w:r>
      <w:r>
        <w:rPr>
          <w:rFonts w:ascii="仿宋_GB2312" w:hAnsi="仿宋" w:eastAsia="仿宋_GB2312"/>
          <w:sz w:val="28"/>
          <w:szCs w:val="28"/>
        </w:rPr>
        <w:t xml:space="preserve"> </w:t>
      </w:r>
    </w:p>
    <w:p>
      <w:pPr>
        <w:pStyle w:val="3"/>
        <w:tabs>
          <w:tab w:val="left" w:pos="6779"/>
        </w:tabs>
        <w:spacing w:line="520" w:lineRule="exact"/>
        <w:ind w:firstLine="562"/>
        <w:rPr>
          <w:rFonts w:ascii="仿宋_GB2312" w:hAnsi="仿宋" w:eastAsia="仿宋_GB2312"/>
          <w:bCs/>
          <w:color w:val="auto"/>
          <w:sz w:val="28"/>
          <w:szCs w:val="28"/>
        </w:rPr>
      </w:pPr>
      <w:r>
        <w:rPr>
          <w:rFonts w:hint="eastAsia" w:ascii="仿宋_GB2312" w:hAnsi="仿宋" w:eastAsia="仿宋_GB2312"/>
          <w:bCs/>
          <w:color w:val="auto"/>
          <w:sz w:val="28"/>
          <w:szCs w:val="28"/>
        </w:rPr>
        <w:t>第十一条</w:t>
      </w:r>
      <w:r>
        <w:rPr>
          <w:rFonts w:ascii="仿宋_GB2312" w:hAnsi="仿宋" w:eastAsia="仿宋_GB2312"/>
          <w:bCs/>
          <w:color w:val="auto"/>
          <w:sz w:val="28"/>
          <w:szCs w:val="28"/>
        </w:rPr>
        <w:t xml:space="preserve"> </w:t>
      </w:r>
      <w:r>
        <w:rPr>
          <w:rFonts w:hint="eastAsia" w:ascii="仿宋_GB2312" w:hAnsi="仿宋" w:eastAsia="仿宋_GB2312"/>
          <w:bCs/>
          <w:color w:val="auto"/>
          <w:sz w:val="28"/>
          <w:szCs w:val="28"/>
        </w:rPr>
        <w:t>理财产品财产的估值</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11.1</w:t>
      </w:r>
      <w:r>
        <w:rPr>
          <w:rFonts w:hint="eastAsia" w:ascii="仿宋_GB2312" w:hAnsi="仿宋" w:eastAsia="仿宋_GB2312"/>
          <w:sz w:val="28"/>
          <w:szCs w:val="28"/>
        </w:rPr>
        <w:t>理财产品财产净值计算、复核的依据、时间和程序</w:t>
      </w:r>
    </w:p>
    <w:p>
      <w:pPr>
        <w:pStyle w:val="18"/>
        <w:spacing w:before="0" w:after="0" w:line="520" w:lineRule="exact"/>
        <w:ind w:left="0" w:firstLine="560"/>
        <w:rPr>
          <w:rFonts w:ascii="仿宋_GB2312" w:hAnsi="仿宋" w:eastAsia="仿宋_GB2312"/>
          <w:sz w:val="28"/>
          <w:szCs w:val="28"/>
        </w:rPr>
      </w:pPr>
      <w:r>
        <w:rPr>
          <w:rFonts w:hint="eastAsia" w:ascii="仿宋_GB2312" w:hAnsi="仿宋" w:eastAsia="仿宋_GB2312"/>
          <w:sz w:val="28"/>
          <w:szCs w:val="28"/>
        </w:rPr>
        <w:t>理财产品财产净值是指理财产品资产总值减去负债后的价值。净值的计算具体以产品说明书约定为准。</w:t>
      </w:r>
    </w:p>
    <w:p>
      <w:pPr>
        <w:pStyle w:val="18"/>
        <w:spacing w:before="0" w:after="0" w:line="520" w:lineRule="exact"/>
        <w:ind w:left="0" w:firstLine="560"/>
        <w:rPr>
          <w:rFonts w:ascii="仿宋_GB2312" w:hAnsi="仿宋" w:eastAsia="仿宋_GB2312"/>
          <w:sz w:val="28"/>
          <w:szCs w:val="28"/>
        </w:rPr>
      </w:pPr>
      <w:r>
        <w:rPr>
          <w:rFonts w:hint="eastAsia" w:ascii="仿宋_GB2312" w:hAnsi="仿宋" w:eastAsia="仿宋_GB2312"/>
          <w:sz w:val="28"/>
          <w:szCs w:val="28"/>
        </w:rPr>
        <w:t>甲方依据产品估值日历逐日对理财产品财产进行估值，估值日历至少满足产品说明书的约定，由乙方复核。估值原则应符合本协议、企业会计准则及其他法律法规的规定。甲方应于每个估值日交易结束后计算当日的理财产品财产净值，并通过系统接口以电子报表形式发送给乙方。乙方对净值计算结果复核后，通过电子对账方式传送给甲方，由甲方按相关约定及法规要求披露给理财产品投资人。具体对账频率以产品说明书约定为准。</w:t>
      </w:r>
    </w:p>
    <w:p>
      <w:pPr>
        <w:pStyle w:val="18"/>
        <w:spacing w:before="0" w:after="0" w:line="520" w:lineRule="exact"/>
        <w:ind w:left="0" w:firstLine="560"/>
        <w:rPr>
          <w:rFonts w:ascii="仿宋_GB2312" w:hAnsi="仿宋" w:eastAsia="仿宋_GB2312"/>
          <w:sz w:val="28"/>
          <w:szCs w:val="28"/>
        </w:rPr>
      </w:pPr>
      <w:r>
        <w:rPr>
          <w:rFonts w:hint="eastAsia" w:ascii="仿宋_GB2312" w:hAnsi="仿宋" w:eastAsia="仿宋_GB2312"/>
          <w:sz w:val="28"/>
          <w:szCs w:val="28"/>
        </w:rPr>
        <w:t>理财产品财产净值计算和会计核算的义务由甲方承担。因此，就与理财产品财产有关的会计问题，本理财产品财产的会计责任方是甲方。如经相关各方在平等基础上充分讨论后，仍无法达成一致意见，以甲方对理财产品财产净值的计算结果为准。因此造成的估值错误而给投资者或理财资产造成的损失，乙方不承担责任。</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 xml:space="preserve">11.2  </w:t>
      </w:r>
      <w:r>
        <w:rPr>
          <w:rFonts w:hint="eastAsia" w:ascii="仿宋_GB2312" w:hAnsi="仿宋" w:eastAsia="仿宋_GB2312"/>
          <w:sz w:val="28"/>
          <w:szCs w:val="28"/>
        </w:rPr>
        <w:t>估值方法</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 xml:space="preserve">11.2.1  </w:t>
      </w:r>
      <w:r>
        <w:rPr>
          <w:rFonts w:hint="eastAsia" w:ascii="仿宋_GB2312" w:hAnsi="仿宋" w:eastAsia="仿宋_GB2312"/>
          <w:sz w:val="28"/>
          <w:szCs w:val="28"/>
        </w:rPr>
        <w:t>估值日</w:t>
      </w:r>
    </w:p>
    <w:p>
      <w:pPr>
        <w:pStyle w:val="18"/>
        <w:spacing w:before="0" w:after="0" w:line="520" w:lineRule="exact"/>
        <w:ind w:left="0" w:firstLine="560"/>
        <w:rPr>
          <w:rFonts w:ascii="仿宋_GB2312" w:hAnsi="仿宋" w:eastAsia="仿宋_GB2312"/>
          <w:sz w:val="28"/>
          <w:szCs w:val="28"/>
        </w:rPr>
      </w:pPr>
      <w:r>
        <w:rPr>
          <w:rFonts w:hint="eastAsia" w:ascii="仿宋_GB2312" w:hAnsi="仿宋" w:eastAsia="仿宋_GB2312"/>
          <w:sz w:val="28"/>
          <w:szCs w:val="28"/>
        </w:rPr>
        <w:t>理财产品的估值日为相关的交易场所交易日以及国家法律法规规定需要对外披露理财产品净值的非交易日、双方约定的其他日期，具体以产品说明书约定为准。</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 xml:space="preserve">11.2.2  </w:t>
      </w:r>
      <w:r>
        <w:rPr>
          <w:rFonts w:hint="eastAsia" w:ascii="仿宋_GB2312" w:hAnsi="仿宋" w:eastAsia="仿宋_GB2312"/>
          <w:sz w:val="28"/>
          <w:szCs w:val="28"/>
        </w:rPr>
        <w:t>估值对象</w:t>
      </w:r>
    </w:p>
    <w:p>
      <w:pPr>
        <w:pStyle w:val="18"/>
        <w:spacing w:before="0" w:after="0" w:line="520" w:lineRule="exact"/>
        <w:ind w:left="0" w:firstLine="560"/>
        <w:rPr>
          <w:rFonts w:ascii="仿宋_GB2312" w:hAnsi="仿宋" w:eastAsia="仿宋_GB2312"/>
          <w:sz w:val="28"/>
          <w:szCs w:val="28"/>
        </w:rPr>
      </w:pPr>
      <w:r>
        <w:rPr>
          <w:rFonts w:hint="eastAsia" w:ascii="仿宋_GB2312" w:hAnsi="仿宋" w:eastAsia="仿宋_GB2312"/>
          <w:sz w:val="28"/>
          <w:szCs w:val="28"/>
        </w:rPr>
        <w:t>理财产品财产项下所有的股票、权证、债券、基金和银行存款本息、应收款项、其他投资等资产及负债。</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 xml:space="preserve">11.2.3  </w:t>
      </w:r>
      <w:r>
        <w:rPr>
          <w:rFonts w:hint="eastAsia" w:ascii="仿宋_GB2312" w:hAnsi="仿宋" w:eastAsia="仿宋_GB2312"/>
          <w:sz w:val="28"/>
          <w:szCs w:val="28"/>
        </w:rPr>
        <w:t>估值方法</w:t>
      </w:r>
    </w:p>
    <w:p>
      <w:pPr>
        <w:pStyle w:val="18"/>
        <w:spacing w:before="0" w:after="0" w:line="520" w:lineRule="exact"/>
        <w:ind w:left="0" w:firstLine="560"/>
        <w:rPr>
          <w:rFonts w:ascii="仿宋_GB2312" w:hAnsi="仿宋" w:eastAsia="仿宋_GB2312"/>
          <w:sz w:val="28"/>
          <w:szCs w:val="28"/>
        </w:rPr>
      </w:pPr>
      <w:r>
        <w:rPr>
          <w:rFonts w:hint="eastAsia" w:ascii="仿宋_GB2312" w:hAnsi="仿宋" w:eastAsia="仿宋_GB2312"/>
          <w:sz w:val="28"/>
          <w:szCs w:val="28"/>
        </w:rPr>
        <w:t>理财产品财产估值方法包括市值法和摊余成本法。其中，理财产品财产满足下述条件，可以摊余成本计量：</w:t>
      </w:r>
    </w:p>
    <w:p>
      <w:pPr>
        <w:pStyle w:val="18"/>
        <w:spacing w:before="0" w:after="0" w:line="520" w:lineRule="exact"/>
        <w:ind w:left="0" w:firstLine="560"/>
        <w:rPr>
          <w:rFonts w:ascii="仿宋_GB2312" w:hAnsi="仿宋" w:eastAsia="仿宋_GB2312"/>
          <w:sz w:val="28"/>
          <w:szCs w:val="28"/>
        </w:rPr>
      </w:pPr>
      <w:r>
        <w:rPr>
          <w:rFonts w:hint="eastAsia" w:ascii="仿宋_GB2312" w:hAnsi="仿宋" w:eastAsia="仿宋_GB2312"/>
          <w:sz w:val="28"/>
          <w:szCs w:val="28"/>
        </w:rPr>
        <w:t>资产管理产品为封闭式产品，且所投金融资产以收取合同现金流量为目的并持有到期；</w:t>
      </w:r>
      <w:r>
        <w:rPr>
          <w:rFonts w:ascii="仿宋_GB2312" w:hAnsi="仿宋" w:eastAsia="仿宋_GB2312"/>
          <w:sz w:val="28"/>
          <w:szCs w:val="28"/>
        </w:rPr>
        <w:t xml:space="preserve"> </w:t>
      </w:r>
    </w:p>
    <w:p>
      <w:pPr>
        <w:pStyle w:val="18"/>
        <w:spacing w:before="0" w:after="0" w:line="520" w:lineRule="exact"/>
        <w:ind w:left="0" w:firstLine="560"/>
        <w:rPr>
          <w:rFonts w:ascii="仿宋_GB2312" w:hAnsi="仿宋" w:eastAsia="仿宋_GB2312"/>
          <w:sz w:val="28"/>
          <w:szCs w:val="28"/>
        </w:rPr>
      </w:pPr>
      <w:r>
        <w:rPr>
          <w:rFonts w:hint="eastAsia" w:ascii="仿宋_GB2312" w:hAnsi="仿宋" w:eastAsia="仿宋_GB2312"/>
          <w:sz w:val="28"/>
          <w:szCs w:val="28"/>
        </w:rPr>
        <w:t>对以摊余成本计量的理财产品财产，按监管明确要求进行减值评估和计提。</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理财产品财产</w:t>
      </w:r>
      <w:r>
        <w:rPr>
          <w:rFonts w:hint="eastAsia" w:ascii="仿宋_GB2312" w:hAnsi="仿宋" w:eastAsia="仿宋_GB2312"/>
          <w:sz w:val="28"/>
          <w:szCs w:val="28"/>
        </w:rPr>
        <w:t>估值方法如下：</w:t>
      </w:r>
    </w:p>
    <w:p>
      <w:pPr>
        <w:pStyle w:val="18"/>
        <w:spacing w:before="0" w:after="0" w:line="520" w:lineRule="exact"/>
        <w:ind w:left="0" w:firstLine="560"/>
        <w:rPr>
          <w:rFonts w:ascii="仿宋_GB2312" w:hAnsi="仿宋" w:eastAsia="仿宋_GB2312"/>
          <w:sz w:val="28"/>
          <w:szCs w:val="28"/>
        </w:rPr>
      </w:pPr>
      <w:r>
        <w:rPr>
          <w:rFonts w:hint="eastAsia" w:ascii="仿宋_GB2312" w:hAnsi="仿宋" w:eastAsia="仿宋_GB2312"/>
          <w:sz w:val="28"/>
          <w:szCs w:val="28"/>
        </w:rPr>
        <w:t>（</w:t>
      </w:r>
      <w:r>
        <w:rPr>
          <w:rFonts w:ascii="仿宋_GB2312" w:hAnsi="仿宋" w:eastAsia="仿宋_GB2312"/>
          <w:sz w:val="28"/>
          <w:szCs w:val="28"/>
        </w:rPr>
        <w:t>1</w:t>
      </w:r>
      <w:r>
        <w:rPr>
          <w:rFonts w:hint="eastAsia" w:ascii="仿宋_GB2312" w:hAnsi="仿宋" w:eastAsia="仿宋_GB2312"/>
          <w:sz w:val="28"/>
          <w:szCs w:val="28"/>
        </w:rPr>
        <w:t>）持有的交易所上市基金（包括封闭式基金、上市开放式基金（</w:t>
      </w:r>
      <w:r>
        <w:rPr>
          <w:rFonts w:ascii="仿宋_GB2312" w:hAnsi="仿宋" w:eastAsia="仿宋_GB2312"/>
          <w:sz w:val="28"/>
          <w:szCs w:val="28"/>
        </w:rPr>
        <w:t>LOF</w:t>
      </w:r>
      <w:r>
        <w:rPr>
          <w:rFonts w:hint="eastAsia" w:ascii="仿宋_GB2312" w:hAnsi="仿宋" w:eastAsia="仿宋_GB2312"/>
          <w:sz w:val="28"/>
          <w:szCs w:val="28"/>
        </w:rPr>
        <w:t>）、创新型分级基金等），按估值日其所在证券交易所的收盘价估值；估值日无交易的，以最近交易日的收盘价估值。</w:t>
      </w:r>
    </w:p>
    <w:p>
      <w:pPr>
        <w:pStyle w:val="18"/>
        <w:spacing w:before="0" w:after="0" w:line="520" w:lineRule="exact"/>
        <w:ind w:left="0" w:firstLine="560"/>
        <w:rPr>
          <w:rFonts w:ascii="仿宋_GB2312" w:hAnsi="仿宋" w:eastAsia="仿宋_GB2312"/>
          <w:sz w:val="28"/>
          <w:szCs w:val="28"/>
        </w:rPr>
      </w:pPr>
      <w:r>
        <w:rPr>
          <w:rFonts w:hint="eastAsia" w:ascii="仿宋_GB2312" w:hAnsi="仿宋" w:eastAsia="仿宋_GB2312"/>
          <w:sz w:val="28"/>
          <w:szCs w:val="28"/>
        </w:rPr>
        <w:t>交易所上市交易或挂牌转让的不含权标准化债权类资产，选取估值日第三方估值机构提供的相应品种当日的估值净价进行估值；</w:t>
      </w:r>
    </w:p>
    <w:p>
      <w:pPr>
        <w:pStyle w:val="18"/>
        <w:spacing w:before="0" w:after="0" w:line="520" w:lineRule="exact"/>
        <w:ind w:left="0" w:firstLine="560"/>
        <w:rPr>
          <w:rFonts w:ascii="仿宋_GB2312" w:hAnsi="仿宋" w:eastAsia="仿宋_GB2312"/>
          <w:sz w:val="28"/>
          <w:szCs w:val="28"/>
        </w:rPr>
      </w:pPr>
      <w:r>
        <w:rPr>
          <w:rFonts w:hint="eastAsia" w:ascii="仿宋_GB2312" w:hAnsi="仿宋" w:eastAsia="仿宋_GB2312"/>
          <w:sz w:val="28"/>
          <w:szCs w:val="28"/>
        </w:rPr>
        <w:t>交易所上市交易或挂牌转让的含权标准化债权类资产（本协议另有约定的除外），选取估值日第三方估值机构提供的相应品种当日的唯一估值净价或推荐估值净价进行估值；</w:t>
      </w:r>
    </w:p>
    <w:p>
      <w:pPr>
        <w:pStyle w:val="18"/>
        <w:spacing w:before="0" w:after="0" w:line="520" w:lineRule="exact"/>
        <w:ind w:left="0" w:firstLine="560"/>
        <w:rPr>
          <w:rFonts w:ascii="仿宋_GB2312" w:hAnsi="仿宋" w:eastAsia="仿宋_GB2312"/>
          <w:sz w:val="28"/>
          <w:szCs w:val="28"/>
        </w:rPr>
      </w:pPr>
      <w:r>
        <w:rPr>
          <w:rFonts w:hint="eastAsia" w:ascii="仿宋_GB2312" w:hAnsi="仿宋" w:eastAsia="仿宋_GB2312"/>
          <w:sz w:val="28"/>
          <w:szCs w:val="28"/>
        </w:rPr>
        <w:t>上市的非净价交易的债券按交易所提供的该证券收盘价减去其中所含应收利息后得到的净价进行估值。该日无交易的，且最近交易日后经济环境未发生重大变化，以最近一交易日的收盘价计算。如最近交易日后经济环境发生了重大变化的，可参考类似投资品种的现行市价及重大变化因素，调整最近交易市价，确定公允价格。</w:t>
      </w:r>
    </w:p>
    <w:p>
      <w:pPr>
        <w:pStyle w:val="18"/>
        <w:spacing w:before="0" w:after="0" w:line="520" w:lineRule="exact"/>
        <w:ind w:left="0" w:firstLine="560"/>
        <w:rPr>
          <w:rFonts w:ascii="仿宋_GB2312" w:hAnsi="仿宋" w:eastAsia="仿宋_GB2312"/>
          <w:sz w:val="28"/>
          <w:szCs w:val="28"/>
        </w:rPr>
      </w:pPr>
      <w:r>
        <w:rPr>
          <w:rFonts w:hint="eastAsia" w:ascii="仿宋_GB2312" w:hAnsi="仿宋" w:eastAsia="仿宋_GB2312"/>
          <w:sz w:val="28"/>
          <w:szCs w:val="28"/>
        </w:rPr>
        <w:t>（</w:t>
      </w:r>
      <w:r>
        <w:rPr>
          <w:rFonts w:ascii="仿宋_GB2312" w:hAnsi="仿宋" w:eastAsia="仿宋_GB2312"/>
          <w:sz w:val="28"/>
          <w:szCs w:val="28"/>
        </w:rPr>
        <w:t>2</w:t>
      </w:r>
      <w:r>
        <w:rPr>
          <w:rFonts w:hint="eastAsia" w:ascii="仿宋_GB2312" w:hAnsi="仿宋" w:eastAsia="仿宋_GB2312"/>
          <w:sz w:val="28"/>
          <w:szCs w:val="28"/>
        </w:rPr>
        <w:t>）交易所发行未上市品种的估值。</w:t>
      </w:r>
    </w:p>
    <w:p>
      <w:pPr>
        <w:pStyle w:val="18"/>
        <w:spacing w:before="0" w:after="0" w:line="520" w:lineRule="exact"/>
        <w:ind w:left="0" w:firstLine="560"/>
        <w:rPr>
          <w:rFonts w:ascii="仿宋_GB2312" w:hAnsi="仿宋" w:eastAsia="仿宋_GB2312"/>
          <w:sz w:val="28"/>
          <w:szCs w:val="28"/>
        </w:rPr>
      </w:pPr>
      <w:r>
        <w:rPr>
          <w:rFonts w:hint="eastAsia" w:ascii="仿宋_GB2312" w:hAnsi="仿宋" w:eastAsia="仿宋_GB2312"/>
          <w:sz w:val="28"/>
          <w:szCs w:val="28"/>
        </w:rPr>
        <w:t>首次发行未上市的股票、债券，采用估值技术确定公允价值。</w:t>
      </w:r>
    </w:p>
    <w:p>
      <w:pPr>
        <w:pStyle w:val="18"/>
        <w:spacing w:before="0" w:after="0" w:line="520" w:lineRule="exact"/>
        <w:ind w:left="0" w:firstLine="560"/>
        <w:rPr>
          <w:rFonts w:ascii="仿宋_GB2312" w:hAnsi="仿宋" w:eastAsia="仿宋_GB2312"/>
          <w:sz w:val="28"/>
          <w:szCs w:val="28"/>
        </w:rPr>
      </w:pPr>
      <w:r>
        <w:rPr>
          <w:rFonts w:hint="eastAsia" w:ascii="仿宋_GB2312" w:hAnsi="仿宋" w:eastAsia="仿宋_GB2312"/>
          <w:sz w:val="28"/>
          <w:szCs w:val="28"/>
        </w:rPr>
        <w:t>（</w:t>
      </w:r>
      <w:r>
        <w:rPr>
          <w:rFonts w:ascii="仿宋_GB2312" w:hAnsi="仿宋" w:eastAsia="仿宋_GB2312"/>
          <w:sz w:val="28"/>
          <w:szCs w:val="28"/>
        </w:rPr>
        <w:t>3</w:t>
      </w:r>
      <w:r>
        <w:rPr>
          <w:rFonts w:hint="eastAsia" w:ascii="仿宋_GB2312" w:hAnsi="仿宋" w:eastAsia="仿宋_GB2312"/>
          <w:sz w:val="28"/>
          <w:szCs w:val="28"/>
        </w:rPr>
        <w:t>）在全国银行间债券市场交易的债券、资产支持收益凭证、同业存单及交易所固定收益平台上市的债券等固定收益品种采用第三方估值机构提供的估值价格确定公允价值。对银行间市场未上市，且选定的第三方估值机构未提供估值价格的债券，采用估值技术进行估值，甲方应向乙方提供相应估值数据，并确保提供数据的真实、完整和有效。</w:t>
      </w:r>
    </w:p>
    <w:p>
      <w:pPr>
        <w:pStyle w:val="18"/>
        <w:spacing w:before="0" w:after="0" w:line="520" w:lineRule="exact"/>
        <w:ind w:left="0" w:firstLine="560"/>
        <w:rPr>
          <w:rFonts w:ascii="仿宋_GB2312" w:hAnsi="仿宋" w:eastAsia="仿宋_GB2312"/>
          <w:sz w:val="28"/>
          <w:szCs w:val="28"/>
        </w:rPr>
      </w:pPr>
      <w:r>
        <w:rPr>
          <w:rFonts w:hint="eastAsia" w:ascii="仿宋_GB2312" w:hAnsi="仿宋" w:eastAsia="仿宋_GB2312"/>
          <w:sz w:val="28"/>
          <w:szCs w:val="28"/>
        </w:rPr>
        <w:t>（</w:t>
      </w:r>
      <w:r>
        <w:rPr>
          <w:rFonts w:ascii="仿宋_GB2312" w:hAnsi="仿宋" w:eastAsia="仿宋_GB2312"/>
          <w:sz w:val="28"/>
          <w:szCs w:val="28"/>
        </w:rPr>
        <w:t>4</w:t>
      </w:r>
      <w:r>
        <w:rPr>
          <w:rFonts w:hint="eastAsia" w:ascii="仿宋_GB2312" w:hAnsi="仿宋" w:eastAsia="仿宋_GB2312"/>
          <w:sz w:val="28"/>
          <w:szCs w:val="28"/>
        </w:rPr>
        <w:t>）持有的场外基金（包括托管在场外的上市开放式基金（</w:t>
      </w:r>
      <w:r>
        <w:rPr>
          <w:rFonts w:ascii="仿宋_GB2312" w:hAnsi="仿宋" w:eastAsia="仿宋_GB2312"/>
          <w:sz w:val="28"/>
          <w:szCs w:val="28"/>
        </w:rPr>
        <w:t>LOF</w:t>
      </w:r>
      <w:r>
        <w:rPr>
          <w:rFonts w:hint="eastAsia" w:ascii="仿宋_GB2312" w:hAnsi="仿宋" w:eastAsia="仿宋_GB2312"/>
          <w:sz w:val="28"/>
          <w:szCs w:val="28"/>
        </w:rPr>
        <w:t>），按估值日前一交易日的基金份额净值估值；估值日前一交易日基金份额净值无公布的，按此前最近交易日的基金份额净值估值；持有的货币市场基金，按基金管理公司公布的估值日前一交易日的每万份收益计提红利；持有的基金处于封闭期的，按照最新公布的份额净值估值。</w:t>
      </w:r>
    </w:p>
    <w:p>
      <w:pPr>
        <w:pStyle w:val="18"/>
        <w:spacing w:before="0" w:after="0" w:line="520" w:lineRule="exact"/>
        <w:ind w:left="0" w:firstLine="560"/>
        <w:rPr>
          <w:rFonts w:ascii="仿宋_GB2312" w:hAnsi="仿宋" w:eastAsia="仿宋_GB2312"/>
          <w:sz w:val="28"/>
          <w:szCs w:val="28"/>
        </w:rPr>
      </w:pPr>
      <w:r>
        <w:rPr>
          <w:rFonts w:hint="eastAsia" w:ascii="仿宋_GB2312" w:hAnsi="仿宋" w:eastAsia="仿宋_GB2312"/>
          <w:sz w:val="28"/>
          <w:szCs w:val="28"/>
        </w:rPr>
        <w:t>（</w:t>
      </w:r>
      <w:r>
        <w:rPr>
          <w:rFonts w:ascii="仿宋_GB2312" w:hAnsi="仿宋" w:eastAsia="仿宋_GB2312"/>
          <w:sz w:val="28"/>
          <w:szCs w:val="28"/>
        </w:rPr>
        <w:t>5</w:t>
      </w:r>
      <w:r>
        <w:rPr>
          <w:rFonts w:hint="eastAsia" w:ascii="仿宋_GB2312" w:hAnsi="仿宋" w:eastAsia="仿宋_GB2312"/>
          <w:sz w:val="28"/>
          <w:szCs w:val="28"/>
        </w:rPr>
        <w:t>）银行存款、回购，以本金列示，按商定的利率在实际持有期间内逐日计提应收利息，在利息到账日以实际利息入账。</w:t>
      </w:r>
    </w:p>
    <w:p>
      <w:pPr>
        <w:pStyle w:val="18"/>
        <w:spacing w:before="0" w:after="0" w:line="520" w:lineRule="exact"/>
        <w:ind w:left="0" w:firstLine="560"/>
        <w:rPr>
          <w:rFonts w:ascii="仿宋_GB2312" w:hAnsi="仿宋" w:eastAsia="仿宋_GB2312"/>
          <w:sz w:val="28"/>
          <w:szCs w:val="28"/>
        </w:rPr>
      </w:pPr>
      <w:r>
        <w:rPr>
          <w:rFonts w:hint="eastAsia" w:ascii="仿宋_GB2312" w:hAnsi="仿宋" w:eastAsia="仿宋_GB2312"/>
          <w:sz w:val="28"/>
          <w:szCs w:val="28"/>
        </w:rPr>
        <w:t>（</w:t>
      </w:r>
      <w:r>
        <w:rPr>
          <w:rFonts w:ascii="仿宋_GB2312" w:hAnsi="仿宋" w:eastAsia="仿宋_GB2312"/>
          <w:sz w:val="28"/>
          <w:szCs w:val="28"/>
        </w:rPr>
        <w:t>6</w:t>
      </w:r>
      <w:r>
        <w:rPr>
          <w:rFonts w:hint="eastAsia" w:ascii="仿宋_GB2312" w:hAnsi="仿宋" w:eastAsia="仿宋_GB2312"/>
          <w:sz w:val="28"/>
          <w:szCs w:val="28"/>
        </w:rPr>
        <w:t>）信托公司、基金公司、证券公司、保险公司、期货公司等及其子公司发行的资产管理计划（以下简称“标的产品”），有确定收益率或预期收益率的固定收益类场外标的产品，按估值技术估值，并每日加计应收收益进行估值；按份额净值计价的场外标的产品按理财产品估值当日系统起批前能获取到的最新公布的份额净值</w:t>
      </w:r>
      <w:r>
        <w:rPr>
          <w:rFonts w:ascii="仿宋_GB2312" w:hAnsi="仿宋" w:eastAsia="仿宋_GB2312"/>
          <w:sz w:val="28"/>
          <w:szCs w:val="28"/>
        </w:rPr>
        <w:t>/万分收益</w:t>
      </w:r>
      <w:r>
        <w:rPr>
          <w:rFonts w:hint="eastAsia" w:ascii="仿宋_GB2312" w:hAnsi="仿宋" w:eastAsia="仿宋_GB2312"/>
          <w:sz w:val="28"/>
          <w:szCs w:val="28"/>
        </w:rPr>
        <w:t>进行估值。不属于上述情况的标的产品，甲方应向乙方提供相应估值方法和估值数据，并确保提供数据的真实、完整和有效。</w:t>
      </w:r>
    </w:p>
    <w:p>
      <w:pPr>
        <w:pStyle w:val="18"/>
        <w:spacing w:before="0" w:after="0" w:line="520" w:lineRule="exact"/>
        <w:ind w:left="0" w:firstLine="560"/>
        <w:rPr>
          <w:rFonts w:ascii="仿宋_GB2312" w:hAnsi="仿宋" w:eastAsia="仿宋_GB2312"/>
          <w:sz w:val="28"/>
          <w:szCs w:val="28"/>
        </w:rPr>
      </w:pPr>
      <w:r>
        <w:rPr>
          <w:rFonts w:hint="eastAsia" w:ascii="仿宋_GB2312" w:hAnsi="仿宋" w:eastAsia="仿宋_GB2312"/>
          <w:sz w:val="28"/>
          <w:szCs w:val="28"/>
        </w:rPr>
        <w:t>（</w:t>
      </w:r>
      <w:r>
        <w:rPr>
          <w:rFonts w:ascii="仿宋_GB2312" w:hAnsi="仿宋" w:eastAsia="仿宋_GB2312"/>
          <w:sz w:val="28"/>
          <w:szCs w:val="28"/>
        </w:rPr>
        <w:t>7</w:t>
      </w:r>
      <w:r>
        <w:rPr>
          <w:rFonts w:hint="eastAsia" w:ascii="仿宋_GB2312" w:hAnsi="仿宋" w:eastAsia="仿宋_GB2312"/>
          <w:sz w:val="28"/>
          <w:szCs w:val="28"/>
        </w:rPr>
        <w:t>）投资非上市股权的，甲方向乙方提供各单项投资的公允价值及估值依据。</w:t>
      </w:r>
    </w:p>
    <w:p>
      <w:pPr>
        <w:pStyle w:val="18"/>
        <w:spacing w:before="0" w:after="0" w:line="520" w:lineRule="exact"/>
        <w:ind w:left="0" w:firstLine="560"/>
        <w:rPr>
          <w:rFonts w:ascii="仿宋_GB2312" w:hAnsi="仿宋" w:eastAsia="仿宋_GB2312"/>
          <w:sz w:val="28"/>
          <w:szCs w:val="28"/>
        </w:rPr>
      </w:pPr>
      <w:r>
        <w:rPr>
          <w:rFonts w:hint="eastAsia" w:ascii="仿宋_GB2312" w:hAnsi="仿宋" w:eastAsia="仿宋_GB2312"/>
          <w:sz w:val="28"/>
          <w:szCs w:val="28"/>
        </w:rPr>
        <w:t>（</w:t>
      </w:r>
      <w:r>
        <w:rPr>
          <w:rFonts w:ascii="仿宋_GB2312" w:hAnsi="仿宋" w:eastAsia="仿宋_GB2312"/>
          <w:sz w:val="28"/>
          <w:szCs w:val="28"/>
        </w:rPr>
        <w:t>8</w:t>
      </w:r>
      <w:r>
        <w:rPr>
          <w:rFonts w:hint="eastAsia" w:ascii="仿宋_GB2312" w:hAnsi="仿宋" w:eastAsia="仿宋_GB2312"/>
          <w:sz w:val="28"/>
          <w:szCs w:val="28"/>
        </w:rPr>
        <w:t>）投资非标准债权的，符合条件的可采用摊余成本法计量。采用摊余成本法的，甲方应以邮件等形式通知乙方。若采用市值法计量，甲方向乙方提供各单项投资的公允价值及估值依据。</w:t>
      </w:r>
    </w:p>
    <w:p>
      <w:pPr>
        <w:pStyle w:val="18"/>
        <w:spacing w:before="0" w:after="0" w:line="520" w:lineRule="exact"/>
        <w:ind w:left="0" w:firstLine="560"/>
        <w:rPr>
          <w:rFonts w:ascii="仿宋_GB2312" w:hAnsi="仿宋" w:eastAsia="仿宋_GB2312"/>
          <w:sz w:val="28"/>
          <w:szCs w:val="28"/>
        </w:rPr>
      </w:pPr>
      <w:r>
        <w:rPr>
          <w:rFonts w:hint="eastAsia" w:ascii="仿宋_GB2312" w:hAnsi="仿宋" w:eastAsia="仿宋_GB2312"/>
          <w:sz w:val="28"/>
          <w:szCs w:val="28"/>
        </w:rPr>
        <w:t>（</w:t>
      </w:r>
      <w:r>
        <w:rPr>
          <w:rFonts w:ascii="仿宋_GB2312" w:hAnsi="仿宋" w:eastAsia="仿宋_GB2312"/>
          <w:sz w:val="28"/>
          <w:szCs w:val="28"/>
        </w:rPr>
        <w:t>9</w:t>
      </w:r>
      <w:r>
        <w:rPr>
          <w:rFonts w:hint="eastAsia" w:ascii="仿宋_GB2312" w:hAnsi="仿宋" w:eastAsia="仿宋_GB2312"/>
          <w:sz w:val="28"/>
          <w:szCs w:val="28"/>
        </w:rPr>
        <w:t>）理财产品持有的衍生工具有活跃市场的交易，以最近交易日结算价进行估值；无活跃市场的交易，按照第三方机构提供的估值数据或甲方认可的估值技术进行估值。法律法规另有规定的，从其规定。</w:t>
      </w:r>
    </w:p>
    <w:p>
      <w:pPr>
        <w:pStyle w:val="18"/>
        <w:spacing w:before="0" w:after="0" w:line="520" w:lineRule="exact"/>
        <w:ind w:left="0" w:firstLine="560"/>
        <w:rPr>
          <w:rFonts w:ascii="仿宋_GB2312" w:hAnsi="仿宋" w:eastAsia="仿宋_GB2312"/>
          <w:sz w:val="28"/>
          <w:szCs w:val="28"/>
        </w:rPr>
      </w:pPr>
      <w:r>
        <w:rPr>
          <w:rFonts w:hint="eastAsia" w:ascii="仿宋_GB2312" w:hAnsi="仿宋" w:eastAsia="仿宋_GB2312"/>
          <w:sz w:val="28"/>
          <w:szCs w:val="28"/>
        </w:rPr>
        <w:t>（</w:t>
      </w:r>
      <w:r>
        <w:rPr>
          <w:rFonts w:ascii="仿宋_GB2312" w:hAnsi="仿宋" w:eastAsia="仿宋_GB2312"/>
          <w:sz w:val="28"/>
          <w:szCs w:val="28"/>
        </w:rPr>
        <w:t>10</w:t>
      </w:r>
      <w:r>
        <w:rPr>
          <w:rFonts w:hint="eastAsia" w:ascii="仿宋_GB2312" w:hAnsi="仿宋" w:eastAsia="仿宋_GB2312"/>
          <w:sz w:val="28"/>
          <w:szCs w:val="28"/>
        </w:rPr>
        <w:t>）估值技术是指管理人和托管人协商一致的，被市场参与者普遍认同，且被以往市场实际交易价格验证具有可靠性的确定公允价值的方法。如有确凿证据表明按上述规定不能客观反映集合计划资产公允价值的，管理人可根据具体情况，在综合考虑市场成交价、市场报价、流动性、收益率曲线等多种因素基础上，在与托管人商议后，按最能反映集合计划资产公允价值的方法估值。</w:t>
      </w:r>
    </w:p>
    <w:p>
      <w:pPr>
        <w:pStyle w:val="18"/>
        <w:spacing w:before="0" w:after="0" w:line="520" w:lineRule="exact"/>
        <w:ind w:left="0" w:firstLine="560"/>
        <w:rPr>
          <w:rFonts w:ascii="仿宋_GB2312" w:hAnsi="仿宋" w:eastAsia="仿宋_GB2312"/>
          <w:sz w:val="28"/>
          <w:szCs w:val="28"/>
        </w:rPr>
      </w:pPr>
      <w:r>
        <w:rPr>
          <w:rFonts w:hint="eastAsia" w:ascii="仿宋_GB2312" w:hAnsi="仿宋" w:eastAsia="仿宋_GB2312"/>
          <w:sz w:val="28"/>
          <w:szCs w:val="28"/>
        </w:rPr>
        <w:t>具体估值方法按单只理财产品的产品说明书为准，如有新增事项或变更事项，按国家有关最新规定估值。</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 xml:space="preserve">11.2.4  </w:t>
      </w:r>
      <w:r>
        <w:rPr>
          <w:rFonts w:hint="eastAsia" w:ascii="仿宋_GB2312" w:hAnsi="仿宋" w:eastAsia="仿宋_GB2312"/>
          <w:sz w:val="28"/>
          <w:szCs w:val="28"/>
        </w:rPr>
        <w:t>估值差错处理</w:t>
      </w:r>
    </w:p>
    <w:p>
      <w:pPr>
        <w:pStyle w:val="18"/>
        <w:spacing w:before="0" w:after="0" w:line="520" w:lineRule="exact"/>
        <w:ind w:left="0" w:firstLine="560"/>
        <w:rPr>
          <w:rFonts w:ascii="仿宋_GB2312" w:hAnsi="仿宋" w:eastAsia="仿宋_GB2312"/>
          <w:sz w:val="28"/>
          <w:szCs w:val="28"/>
        </w:rPr>
      </w:pPr>
      <w:r>
        <w:rPr>
          <w:rFonts w:hint="eastAsia" w:ascii="仿宋_GB2312" w:hAnsi="仿宋" w:eastAsia="仿宋_GB2312"/>
          <w:sz w:val="28"/>
          <w:szCs w:val="28"/>
        </w:rPr>
        <w:t>如管理人或乙方发现资产估值违反本协议或产品说明书订明的估值方法、程序及相关法律法规的规定或者未能充分维护理财产品投资人利益时，应立即通知对方，共同查明原因，协商解决。</w:t>
      </w:r>
    </w:p>
    <w:p>
      <w:pPr>
        <w:pStyle w:val="18"/>
        <w:spacing w:before="0" w:after="0" w:line="520" w:lineRule="exact"/>
        <w:ind w:left="0" w:firstLine="560"/>
        <w:rPr>
          <w:rFonts w:ascii="仿宋_GB2312" w:hAnsi="仿宋" w:eastAsia="仿宋_GB2312"/>
          <w:sz w:val="28"/>
          <w:szCs w:val="28"/>
        </w:rPr>
      </w:pPr>
      <w:r>
        <w:rPr>
          <w:rFonts w:hint="eastAsia" w:ascii="仿宋_GB2312" w:hAnsi="仿宋" w:eastAsia="仿宋_GB2312"/>
          <w:sz w:val="28"/>
          <w:szCs w:val="28"/>
        </w:rPr>
        <w:t>根据有关法律法规，理财产品财产净值计算和会计核算的义务由管理人承担，理财产品财产的会计责任方由管理人担任。因此，就与理财产品财产有关的会计问题，如经相关各方在平等基础上充分讨论后，仍无法达成一致意见，以管理人的意见为准。由此造成的估值错误而给投资者或理财资产造成的损失，乙方不承担责任。</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 xml:space="preserve">11.2.5  </w:t>
      </w:r>
      <w:r>
        <w:rPr>
          <w:rFonts w:hint="eastAsia" w:ascii="仿宋_GB2312" w:hAnsi="仿宋" w:eastAsia="仿宋_GB2312"/>
          <w:sz w:val="28"/>
          <w:szCs w:val="28"/>
        </w:rPr>
        <w:t>资产账册的建立</w:t>
      </w:r>
    </w:p>
    <w:p>
      <w:pPr>
        <w:pStyle w:val="18"/>
        <w:spacing w:before="0" w:after="0" w:line="520" w:lineRule="exact"/>
        <w:ind w:left="0" w:firstLine="560"/>
        <w:rPr>
          <w:rFonts w:ascii="仿宋_GB2312" w:hAnsi="仿宋" w:eastAsia="仿宋_GB2312"/>
          <w:sz w:val="28"/>
          <w:szCs w:val="28"/>
        </w:rPr>
      </w:pPr>
      <w:r>
        <w:rPr>
          <w:rFonts w:hint="eastAsia" w:ascii="仿宋_GB2312" w:hAnsi="仿宋" w:eastAsia="仿宋_GB2312"/>
          <w:sz w:val="28"/>
          <w:szCs w:val="28"/>
        </w:rPr>
        <w:t>管理人和乙方在本协议生效后，应按照相关各方约定的同一记账方法和会计处理原则，分别独立地设置和保管理财产品财产的全套账册，对相关各方各自的账册定期进行核对，互相监督，以保证理财产品财产的安全。若双方对会计处理方法存在分歧，应以管理人的处理方法为准。</w:t>
      </w:r>
    </w:p>
    <w:p>
      <w:pPr>
        <w:pStyle w:val="18"/>
        <w:spacing w:before="0" w:after="0" w:line="520" w:lineRule="exact"/>
        <w:ind w:left="0" w:firstLine="560"/>
        <w:rPr>
          <w:rFonts w:ascii="仿宋_GB2312" w:hAnsi="仿宋" w:eastAsia="仿宋_GB2312"/>
          <w:sz w:val="28"/>
          <w:szCs w:val="28"/>
        </w:rPr>
      </w:pPr>
      <w:r>
        <w:rPr>
          <w:rFonts w:hint="eastAsia" w:ascii="仿宋_GB2312" w:hAnsi="仿宋" w:eastAsia="仿宋_GB2312"/>
          <w:sz w:val="28"/>
          <w:szCs w:val="28"/>
        </w:rPr>
        <w:t>经对账发现相关各方的账目存在不符的，管理人和乙方必须及时查明原因并纠正，保证相关各方平行登录的账册记录完全相符。</w:t>
      </w:r>
    </w:p>
    <w:p>
      <w:pPr>
        <w:pStyle w:val="3"/>
        <w:tabs>
          <w:tab w:val="left" w:pos="6779"/>
        </w:tabs>
        <w:spacing w:line="520" w:lineRule="exact"/>
        <w:ind w:firstLine="562"/>
        <w:rPr>
          <w:rFonts w:ascii="仿宋_GB2312" w:hAnsi="仿宋" w:eastAsia="仿宋_GB2312"/>
          <w:bCs/>
          <w:color w:val="auto"/>
          <w:sz w:val="28"/>
          <w:szCs w:val="28"/>
        </w:rPr>
      </w:pPr>
      <w:r>
        <w:rPr>
          <w:rFonts w:hint="eastAsia" w:ascii="仿宋_GB2312" w:hAnsi="仿宋" w:eastAsia="仿宋_GB2312"/>
          <w:bCs/>
          <w:color w:val="auto"/>
          <w:sz w:val="28"/>
          <w:szCs w:val="28"/>
        </w:rPr>
        <w:t>第十二条</w:t>
      </w:r>
      <w:r>
        <w:rPr>
          <w:rFonts w:ascii="仿宋_GB2312" w:hAnsi="仿宋" w:eastAsia="仿宋_GB2312"/>
          <w:bCs/>
          <w:color w:val="auto"/>
          <w:sz w:val="28"/>
          <w:szCs w:val="28"/>
        </w:rPr>
        <w:t xml:space="preserve">  </w:t>
      </w:r>
      <w:r>
        <w:rPr>
          <w:rFonts w:hint="eastAsia" w:ascii="仿宋_GB2312" w:hAnsi="仿宋" w:eastAsia="仿宋_GB2312"/>
          <w:bCs/>
          <w:color w:val="auto"/>
          <w:sz w:val="28"/>
          <w:szCs w:val="28"/>
        </w:rPr>
        <w:t>投资监督</w:t>
      </w:r>
    </w:p>
    <w:p>
      <w:pPr>
        <w:pStyle w:val="18"/>
        <w:spacing w:before="0" w:after="0" w:line="520" w:lineRule="exact"/>
        <w:ind w:left="0" w:firstLine="560" w:firstLineChars="200"/>
        <w:rPr>
          <w:rFonts w:hint="eastAsia" w:ascii="仿宋_GB2312" w:hAnsi="仿宋" w:eastAsia="仿宋_GB2312"/>
          <w:sz w:val="28"/>
          <w:szCs w:val="28"/>
        </w:rPr>
      </w:pPr>
      <w:r>
        <w:rPr>
          <w:rFonts w:hint="eastAsia" w:ascii="仿宋_GB2312" w:hAnsi="仿宋" w:eastAsia="仿宋_GB2312" w:cstheme="minorBidi"/>
          <w:b w:val="0"/>
          <w:sz w:val="28"/>
          <w:szCs w:val="28"/>
        </w:rPr>
        <w:t>12.1</w:t>
      </w:r>
      <w:r>
        <w:rPr>
          <w:rFonts w:hint="eastAsia" w:ascii="仿宋_GB2312" w:hAnsi="仿宋" w:eastAsia="仿宋_GB2312" w:cstheme="minorBidi"/>
          <w:sz w:val="28"/>
          <w:szCs w:val="28"/>
        </w:rPr>
        <w:t>甲方应确保各理财产品的合法合规性，保证对理财产品资产的管理运用严格遵守</w:t>
      </w:r>
      <w:r>
        <w:rPr>
          <w:rFonts w:hint="eastAsia" w:ascii="仿宋_GB2312" w:hAnsi="仿宋" w:eastAsia="仿宋_GB2312" w:cstheme="minorBidi"/>
          <w:sz w:val="28"/>
          <w:szCs w:val="28"/>
          <w:lang w:val="en-US" w:eastAsia="zh-CN"/>
        </w:rPr>
        <w:t>国家金融监督管理总局关</w:t>
      </w:r>
      <w:r>
        <w:rPr>
          <w:rFonts w:hint="eastAsia" w:ascii="仿宋_GB2312" w:hAnsi="仿宋" w:eastAsia="仿宋_GB2312" w:cstheme="minorBidi"/>
          <w:sz w:val="28"/>
          <w:szCs w:val="28"/>
        </w:rPr>
        <w:t>于商业银行理财业务的各项监管规定。</w:t>
      </w:r>
    </w:p>
    <w:p>
      <w:pPr>
        <w:pStyle w:val="18"/>
        <w:spacing w:before="0" w:after="0" w:line="520" w:lineRule="exact"/>
        <w:ind w:left="0" w:firstLine="560" w:firstLineChars="200"/>
        <w:rPr>
          <w:rFonts w:hint="eastAsia" w:ascii="仿宋_GB2312" w:hAnsi="仿宋" w:eastAsia="仿宋_GB2312"/>
          <w:sz w:val="28"/>
          <w:szCs w:val="28"/>
        </w:rPr>
      </w:pPr>
      <w:r>
        <w:rPr>
          <w:rFonts w:hint="eastAsia" w:ascii="仿宋_GB2312" w:hAnsi="仿宋" w:eastAsia="仿宋_GB2312" w:cstheme="minorBidi"/>
          <w:b w:val="0"/>
          <w:sz w:val="28"/>
          <w:szCs w:val="28"/>
        </w:rPr>
        <w:t xml:space="preserve">12.2 </w:t>
      </w:r>
      <w:r>
        <w:rPr>
          <w:rFonts w:hint="eastAsia" w:ascii="仿宋_GB2312" w:hAnsi="仿宋" w:eastAsia="仿宋_GB2312" w:cstheme="minorBidi"/>
          <w:sz w:val="28"/>
          <w:szCs w:val="28"/>
        </w:rPr>
        <w:t>乙方对甲方的投资行为行使监督权。</w:t>
      </w:r>
      <w:r>
        <w:rPr>
          <w:rFonts w:hint="eastAsia" w:ascii="仿宋_GB2312" w:hAnsi="仿宋" w:eastAsia="仿宋_GB2312"/>
          <w:sz w:val="28"/>
          <w:szCs w:val="28"/>
        </w:rPr>
        <w:t>乙方根据法律法规及本协议和理财产品文件的规定，对甲方的理财资金管理运用进行监督与核查。如需开展穿透监督的，甲方应于对账日次日5个工作日内提供底层投资产品最新估值表，否则乙方仅对理财产品本层进行监督。</w:t>
      </w:r>
    </w:p>
    <w:p>
      <w:pPr>
        <w:pStyle w:val="18"/>
        <w:spacing w:before="0" w:after="0" w:line="520" w:lineRule="exact"/>
        <w:ind w:left="0" w:firstLine="560" w:firstLineChars="200"/>
        <w:rPr>
          <w:rFonts w:hint="eastAsia" w:ascii="仿宋_GB2312" w:hAnsi="仿宋" w:eastAsia="仿宋_GB2312" w:cstheme="minorBidi"/>
          <w:sz w:val="28"/>
          <w:szCs w:val="28"/>
        </w:rPr>
      </w:pPr>
      <w:r>
        <w:rPr>
          <w:rFonts w:hint="eastAsia" w:ascii="仿宋_GB2312" w:hAnsi="仿宋" w:eastAsia="仿宋_GB2312"/>
          <w:sz w:val="28"/>
          <w:szCs w:val="28"/>
        </w:rPr>
        <w:t>12.3本协议项下相关各期/单只理财产品财产的投资对象以本协议中各期/单只理财产品的产品说明书约定为准。</w:t>
      </w:r>
    </w:p>
    <w:p>
      <w:pPr>
        <w:pStyle w:val="18"/>
        <w:spacing w:before="0" w:after="0" w:line="520" w:lineRule="exact"/>
        <w:ind w:left="0" w:firstLine="560" w:firstLineChars="200"/>
        <w:rPr>
          <w:rFonts w:hint="eastAsia" w:ascii="仿宋_GB2312" w:hAnsi="仿宋" w:eastAsia="仿宋_GB2312"/>
          <w:sz w:val="28"/>
          <w:szCs w:val="28"/>
        </w:rPr>
      </w:pPr>
      <w:r>
        <w:rPr>
          <w:rFonts w:hint="eastAsia" w:ascii="仿宋_GB2312" w:hAnsi="仿宋" w:eastAsia="仿宋_GB2312" w:cstheme="minorBidi"/>
          <w:sz w:val="28"/>
          <w:szCs w:val="28"/>
        </w:rPr>
        <w:t>12.4乙方发现甲方的划款指令或实际投资运作违反法律法规规定和本托管协议的约定，应及时以电话提醒或书面提示等方式通知甲方</w:t>
      </w:r>
      <w:r>
        <w:rPr>
          <w:rFonts w:hint="eastAsia" w:ascii="仿宋_GB2312" w:hAnsi="仿宋" w:eastAsia="仿宋_GB2312" w:cstheme="minorBidi"/>
          <w:sz w:val="28"/>
          <w:szCs w:val="28"/>
          <w:lang w:val="en-US" w:eastAsia="zh-CN"/>
        </w:rPr>
        <w:t>负责人员</w:t>
      </w:r>
      <w:r>
        <w:rPr>
          <w:rFonts w:hint="eastAsia" w:ascii="仿宋_GB2312" w:hAnsi="仿宋" w:eastAsia="仿宋_GB2312" w:cstheme="minorBidi"/>
          <w:sz w:val="28"/>
          <w:szCs w:val="28"/>
        </w:rPr>
        <w:t>限期纠正。甲方应积极配合和协助乙方的监督和核查。甲方收到书面通知后应在下一工作日前及时核对并以书面形式给乙方发出回函，就乙方的疑义进行解释或举证，说明违规原因及纠正期限，并保证在规定期限内及时改正。在上述规定期限内，乙方有权随时对通知事项进行复查，督促甲方改正。甲方对乙方通知的违规事项未能在限期内纠正的，乙方有权报告监管部门。</w:t>
      </w:r>
    </w:p>
    <w:p>
      <w:pPr>
        <w:pStyle w:val="18"/>
        <w:spacing w:before="0" w:after="0" w:line="520" w:lineRule="exact"/>
        <w:ind w:left="0" w:firstLine="560" w:firstLineChars="200"/>
        <w:rPr>
          <w:rFonts w:hint="eastAsia" w:ascii="仿宋_GB2312" w:hAnsi="仿宋" w:eastAsia="仿宋_GB2312"/>
          <w:sz w:val="28"/>
          <w:szCs w:val="28"/>
        </w:rPr>
      </w:pPr>
      <w:r>
        <w:rPr>
          <w:rFonts w:hint="eastAsia" w:ascii="仿宋_GB2312" w:hAnsi="仿宋" w:eastAsia="仿宋_GB2312" w:cstheme="minorBidi"/>
          <w:sz w:val="28"/>
          <w:szCs w:val="28"/>
        </w:rPr>
        <w:t>12.5乙方发现甲方有重大违规行为，有权报告监管部门，同时通知甲方限期纠正。甲方无正当理由，拒绝、阻挠对方根据本托管协议规定行使监督权，或采取拖延、欺诈等手段妨碍对方进行有效监督，情节严重或经乙方提出警告仍不改正的，乙方有权报告监管部门。</w:t>
      </w:r>
    </w:p>
    <w:p>
      <w:pPr>
        <w:pStyle w:val="18"/>
        <w:spacing w:before="0" w:after="0" w:line="520" w:lineRule="exact"/>
        <w:ind w:left="0" w:firstLine="560" w:firstLineChars="200"/>
        <w:rPr>
          <w:rFonts w:hint="eastAsia" w:ascii="仿宋_GB2312" w:hAnsi="仿宋" w:eastAsia="仿宋_GB2312"/>
          <w:sz w:val="28"/>
          <w:szCs w:val="28"/>
        </w:rPr>
      </w:pPr>
      <w:r>
        <w:rPr>
          <w:rFonts w:hint="eastAsia" w:ascii="仿宋_GB2312" w:hAnsi="仿宋" w:eastAsia="仿宋_GB2312" w:cstheme="minorBidi"/>
          <w:sz w:val="28"/>
          <w:szCs w:val="28"/>
        </w:rPr>
        <w:t>12.6理财产品投资范围和投资限制变更的，甲方应将变更后的理财产品销售文件提交乙方，甲方应为乙方调整监督事项留出必要的时间。</w:t>
      </w:r>
    </w:p>
    <w:p>
      <w:pPr>
        <w:pStyle w:val="18"/>
        <w:spacing w:before="0" w:after="0" w:line="520" w:lineRule="exact"/>
        <w:ind w:left="0" w:firstLine="560" w:firstLineChars="200"/>
        <w:rPr>
          <w:rFonts w:hint="eastAsia" w:ascii="仿宋_GB2312" w:hAnsi="仿宋" w:eastAsia="仿宋_GB2312"/>
          <w:sz w:val="28"/>
          <w:szCs w:val="28"/>
        </w:rPr>
      </w:pPr>
      <w:r>
        <w:rPr>
          <w:rFonts w:hint="eastAsia" w:ascii="仿宋_GB2312" w:hAnsi="仿宋" w:eastAsia="仿宋_GB2312" w:cstheme="minorBidi"/>
          <w:sz w:val="28"/>
          <w:szCs w:val="28"/>
        </w:rPr>
        <w:t>12.7 甲方经乙方催告仍不按约定与乙方对账，导致乙方无法及时履行投资监督职责，乙方不承担由此造成的损失。</w:t>
      </w:r>
    </w:p>
    <w:p>
      <w:pPr>
        <w:pStyle w:val="18"/>
        <w:spacing w:before="0" w:after="0" w:line="520" w:lineRule="exact"/>
        <w:ind w:left="0" w:firstLine="560"/>
        <w:rPr>
          <w:rFonts w:ascii="仿宋_GB2312" w:hAnsi="仿宋" w:eastAsia="仿宋_GB2312"/>
          <w:sz w:val="28"/>
          <w:szCs w:val="28"/>
        </w:rPr>
      </w:pPr>
      <w:r>
        <w:rPr>
          <w:rFonts w:hint="eastAsia" w:ascii="仿宋_GB2312" w:hAnsi="仿宋" w:eastAsia="仿宋_GB2312" w:cstheme="minorBidi"/>
          <w:sz w:val="28"/>
          <w:szCs w:val="28"/>
        </w:rPr>
        <w:t>12.8乙方投资监督的准确性和完整性及真实性、及时性受限于甲方、证券经纪商及其他中介机构提供的数据和信息，合规投资的最终责任在甲方。乙方对这些机构的信息的准确性和完整性及真实性、及时性不作任何担保、暗示或表示，并对上述机构提供的信息的真实性、准确性、完整性和及时性所引起的损失不承担任何责任，乙方存在疏忽、违约或欺诈情形的除外。</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12.9</w:t>
      </w:r>
      <w:r>
        <w:rPr>
          <w:rFonts w:hint="eastAsia" w:ascii="仿宋_GB2312" w:hAnsi="仿宋" w:eastAsia="仿宋_GB2312"/>
          <w:sz w:val="28"/>
          <w:szCs w:val="28"/>
        </w:rPr>
        <w:t>乙</w:t>
      </w:r>
      <w:r>
        <w:rPr>
          <w:rFonts w:ascii="仿宋_GB2312" w:hAnsi="仿宋" w:eastAsia="仿宋_GB2312"/>
          <w:sz w:val="28"/>
          <w:szCs w:val="28"/>
        </w:rPr>
        <w:t>方不对理财产品资金划付后的使用过程承担监督与核查的职责。</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12.10</w:t>
      </w:r>
      <w:r>
        <w:rPr>
          <w:rFonts w:hint="eastAsia" w:ascii="仿宋_GB2312" w:hAnsi="仿宋" w:eastAsia="仿宋_GB2312"/>
          <w:sz w:val="28"/>
          <w:szCs w:val="28"/>
        </w:rPr>
        <w:t>每只理财产品单独开立托管账户，甲乙</w:t>
      </w:r>
      <w:r>
        <w:rPr>
          <w:rFonts w:ascii="仿宋_GB2312" w:hAnsi="仿宋" w:eastAsia="仿宋_GB2312"/>
          <w:sz w:val="28"/>
          <w:szCs w:val="28"/>
        </w:rPr>
        <w:t>双</w:t>
      </w:r>
      <w:r>
        <w:rPr>
          <w:rFonts w:hint="eastAsia" w:ascii="仿宋_GB2312" w:hAnsi="仿宋" w:eastAsia="仿宋_GB2312"/>
          <w:sz w:val="28"/>
          <w:szCs w:val="28"/>
        </w:rPr>
        <w:t>方应保证本理财产品在实际运作过程中每只理财产品与所投资资产相对应，每只理财产品单独管理、单独建账、单独核算，甲</w:t>
      </w:r>
      <w:r>
        <w:rPr>
          <w:rFonts w:ascii="仿宋_GB2312" w:hAnsi="仿宋" w:eastAsia="仿宋_GB2312"/>
          <w:sz w:val="28"/>
          <w:szCs w:val="28"/>
        </w:rPr>
        <w:t>方</w:t>
      </w:r>
      <w:r>
        <w:rPr>
          <w:rFonts w:hint="eastAsia" w:ascii="仿宋_GB2312" w:hAnsi="仿宋" w:eastAsia="仿宋_GB2312"/>
          <w:sz w:val="28"/>
          <w:szCs w:val="28"/>
        </w:rPr>
        <w:t>不得开展具有滚动发行、集合运作、分离定价特征的资金池理财业务。</w:t>
      </w:r>
    </w:p>
    <w:p>
      <w:pPr>
        <w:pStyle w:val="3"/>
        <w:tabs>
          <w:tab w:val="left" w:pos="6779"/>
        </w:tabs>
        <w:spacing w:line="520" w:lineRule="exact"/>
        <w:ind w:firstLine="562"/>
        <w:rPr>
          <w:rFonts w:ascii="仿宋_GB2312" w:hAnsi="仿宋" w:eastAsia="仿宋_GB2312"/>
          <w:bCs/>
          <w:color w:val="auto"/>
          <w:sz w:val="28"/>
          <w:szCs w:val="28"/>
        </w:rPr>
      </w:pPr>
      <w:r>
        <w:rPr>
          <w:rFonts w:hint="eastAsia" w:ascii="仿宋_GB2312" w:hAnsi="仿宋" w:eastAsia="仿宋_GB2312"/>
          <w:bCs/>
          <w:color w:val="auto"/>
          <w:sz w:val="28"/>
          <w:szCs w:val="28"/>
        </w:rPr>
        <w:t>第十三条</w:t>
      </w:r>
      <w:r>
        <w:rPr>
          <w:rFonts w:ascii="仿宋_GB2312" w:hAnsi="仿宋" w:eastAsia="仿宋_GB2312"/>
          <w:bCs/>
          <w:color w:val="auto"/>
          <w:sz w:val="28"/>
          <w:szCs w:val="28"/>
        </w:rPr>
        <w:t xml:space="preserve">  </w:t>
      </w:r>
      <w:r>
        <w:rPr>
          <w:rFonts w:hint="eastAsia" w:ascii="仿宋_GB2312" w:hAnsi="仿宋" w:eastAsia="仿宋_GB2312"/>
          <w:bCs/>
          <w:color w:val="auto"/>
          <w:sz w:val="28"/>
          <w:szCs w:val="28"/>
        </w:rPr>
        <w:t>税费计提、支取和理财产品财产的核算、分配</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13.1</w:t>
      </w:r>
      <w:r>
        <w:rPr>
          <w:rFonts w:hint="eastAsia" w:ascii="仿宋_GB2312" w:hAnsi="仿宋" w:eastAsia="仿宋_GB2312"/>
          <w:sz w:val="28"/>
          <w:szCs w:val="28"/>
        </w:rPr>
        <w:t>费用</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13.1.1</w:t>
      </w:r>
      <w:r>
        <w:rPr>
          <w:rFonts w:hint="eastAsia" w:ascii="仿宋_GB2312" w:hAnsi="仿宋" w:eastAsia="仿宋_GB2312"/>
          <w:sz w:val="28"/>
          <w:szCs w:val="28"/>
        </w:rPr>
        <w:t>理财产品成立后由理财产品承担的费用种类见理财产品文件并按照理财产品文件约定的方式计算、计提、支付。</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13.1.2</w:t>
      </w:r>
      <w:r>
        <w:rPr>
          <w:rFonts w:hint="eastAsia" w:ascii="仿宋_GB2312" w:hAnsi="仿宋" w:eastAsia="仿宋_GB2312"/>
          <w:sz w:val="28"/>
          <w:szCs w:val="28"/>
        </w:rPr>
        <w:t>托管费</w:t>
      </w:r>
    </w:p>
    <w:p>
      <w:pPr>
        <w:pStyle w:val="18"/>
        <w:spacing w:before="0" w:after="0" w:line="520" w:lineRule="exact"/>
        <w:ind w:left="0" w:firstLine="560"/>
        <w:rPr>
          <w:rFonts w:ascii="仿宋_GB2312" w:hAnsi="仿宋" w:eastAsia="仿宋_GB2312"/>
          <w:sz w:val="28"/>
          <w:szCs w:val="28"/>
        </w:rPr>
      </w:pPr>
      <w:r>
        <w:rPr>
          <w:rFonts w:hint="eastAsia" w:ascii="仿宋_GB2312" w:hAnsi="仿宋" w:eastAsia="仿宋_GB2312"/>
          <w:sz w:val="28"/>
          <w:szCs w:val="28"/>
        </w:rPr>
        <w:t>托管费率</w:t>
      </w:r>
      <w:r>
        <w:rPr>
          <w:rFonts w:ascii="仿宋_GB2312" w:hAnsi="仿宋" w:eastAsia="仿宋_GB2312"/>
          <w:sz w:val="28"/>
          <w:szCs w:val="28"/>
        </w:rPr>
        <w:t>以产品说明书为准</w:t>
      </w:r>
      <w:r>
        <w:rPr>
          <w:rFonts w:hint="eastAsia" w:ascii="仿宋_GB2312" w:hAnsi="仿宋" w:eastAsia="仿宋_GB2312"/>
          <w:sz w:val="28"/>
          <w:szCs w:val="28"/>
        </w:rPr>
        <w:t>。</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13.1.3</w:t>
      </w:r>
      <w:r>
        <w:rPr>
          <w:rFonts w:hint="eastAsia" w:ascii="仿宋_GB2312" w:hAnsi="仿宋" w:eastAsia="仿宋_GB2312"/>
          <w:sz w:val="28"/>
          <w:szCs w:val="28"/>
        </w:rPr>
        <w:t>托管费支付方式</w:t>
      </w:r>
    </w:p>
    <w:p>
      <w:pPr>
        <w:pStyle w:val="18"/>
        <w:spacing w:before="0" w:after="0" w:line="520" w:lineRule="exact"/>
        <w:ind w:left="0" w:firstLine="560"/>
        <w:rPr>
          <w:rFonts w:ascii="仿宋_GB2312" w:hAnsi="仿宋" w:eastAsia="仿宋_GB2312"/>
          <w:sz w:val="28"/>
          <w:szCs w:val="28"/>
        </w:rPr>
      </w:pPr>
      <w:r>
        <w:rPr>
          <w:rFonts w:hint="eastAsia" w:ascii="仿宋_GB2312" w:hAnsi="仿宋" w:eastAsia="仿宋_GB2312"/>
          <w:sz w:val="28"/>
          <w:szCs w:val="28"/>
        </w:rPr>
        <w:t>托管费按</w:t>
      </w:r>
      <w:r>
        <w:rPr>
          <w:rFonts w:ascii="仿宋_GB2312" w:hAnsi="仿宋" w:eastAsia="仿宋_GB2312"/>
          <w:sz w:val="28"/>
          <w:szCs w:val="28"/>
        </w:rPr>
        <w:t>产品说明书约定</w:t>
      </w:r>
      <w:r>
        <w:rPr>
          <w:rFonts w:hint="eastAsia" w:ascii="仿宋_GB2312" w:hAnsi="仿宋" w:eastAsia="仿宋_GB2312"/>
          <w:sz w:val="28"/>
          <w:szCs w:val="28"/>
        </w:rPr>
        <w:t>计算、计提、支付。实际支付时，由管理人向乙方发送指令，乙方复核后，根据管理人出具的划款指令从理财产品托管账户中扣除。</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13.2</w:t>
      </w:r>
      <w:r>
        <w:rPr>
          <w:rFonts w:hint="eastAsia" w:ascii="仿宋_GB2312" w:hAnsi="仿宋" w:eastAsia="仿宋_GB2312"/>
          <w:sz w:val="28"/>
          <w:szCs w:val="28"/>
        </w:rPr>
        <w:t>管理人报酬</w:t>
      </w:r>
    </w:p>
    <w:p>
      <w:pPr>
        <w:pStyle w:val="18"/>
        <w:spacing w:before="0" w:after="0" w:line="520" w:lineRule="exact"/>
        <w:ind w:left="0" w:firstLine="560"/>
        <w:rPr>
          <w:rFonts w:ascii="仿宋_GB2312" w:hAnsi="仿宋" w:eastAsia="仿宋_GB2312"/>
          <w:sz w:val="28"/>
          <w:szCs w:val="28"/>
        </w:rPr>
      </w:pPr>
      <w:r>
        <w:rPr>
          <w:rFonts w:hint="eastAsia" w:ascii="仿宋_GB2312" w:hAnsi="仿宋" w:eastAsia="仿宋_GB2312"/>
          <w:sz w:val="28"/>
          <w:szCs w:val="28"/>
        </w:rPr>
        <w:t>甲方和乙方按产品说明书约定计算、计提、支付管理人报酬。实际支付时，由甲方向乙方发送指令，乙方复核后，根据管理人出具的划款指令从理财产品托管账户中扣除。</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13.3</w:t>
      </w:r>
      <w:r>
        <w:rPr>
          <w:rFonts w:hint="eastAsia" w:ascii="仿宋_GB2312" w:hAnsi="仿宋" w:eastAsia="仿宋_GB2312"/>
          <w:sz w:val="28"/>
          <w:szCs w:val="28"/>
        </w:rPr>
        <w:t>理财产品涉及的各纳税主体，其纳税义务按国家税收法律法规各自履行。</w:t>
      </w:r>
    </w:p>
    <w:p>
      <w:pPr>
        <w:pStyle w:val="18"/>
        <w:spacing w:before="0" w:after="0" w:line="520" w:lineRule="exact"/>
        <w:ind w:left="0" w:firstLine="560"/>
        <w:rPr>
          <w:rFonts w:ascii="仿宋_GB2312" w:hAnsi="仿宋" w:eastAsia="仿宋_GB2312"/>
          <w:sz w:val="28"/>
          <w:szCs w:val="28"/>
        </w:rPr>
      </w:pPr>
      <w:r>
        <w:rPr>
          <w:rFonts w:hint="eastAsia" w:ascii="仿宋_GB2312" w:hAnsi="仿宋" w:eastAsia="仿宋_GB2312"/>
          <w:sz w:val="28"/>
          <w:szCs w:val="28"/>
        </w:rPr>
        <w:t>除银行结算费用外，本理财产品项下的所有费用均由乙方复核，依据甲方出具的划款指令支付。</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13.4</w:t>
      </w:r>
      <w:r>
        <w:rPr>
          <w:rFonts w:hint="eastAsia" w:ascii="仿宋_GB2312" w:hAnsi="仿宋" w:eastAsia="仿宋_GB2312"/>
          <w:sz w:val="28"/>
          <w:szCs w:val="28"/>
        </w:rPr>
        <w:t>理财产品的收益分配和本金返还</w:t>
      </w:r>
    </w:p>
    <w:p>
      <w:pPr>
        <w:pStyle w:val="18"/>
        <w:spacing w:before="0" w:after="0" w:line="520" w:lineRule="exact"/>
        <w:ind w:left="0" w:firstLine="560"/>
        <w:rPr>
          <w:rFonts w:ascii="仿宋_GB2312" w:hAnsi="仿宋" w:eastAsia="仿宋_GB2312"/>
          <w:sz w:val="28"/>
          <w:szCs w:val="28"/>
        </w:rPr>
      </w:pPr>
      <w:r>
        <w:rPr>
          <w:rFonts w:hint="eastAsia" w:ascii="仿宋_GB2312" w:hAnsi="仿宋" w:eastAsia="仿宋_GB2312"/>
          <w:sz w:val="28"/>
          <w:szCs w:val="28"/>
        </w:rPr>
        <w:t>甲方根据理财产品文件的约定计算和分配理财产品收益（理财产品收益的计算、计提和支付方法见理财产品说明书）。</w:t>
      </w:r>
    </w:p>
    <w:p>
      <w:pPr>
        <w:pStyle w:val="18"/>
        <w:spacing w:before="0" w:after="0" w:line="520" w:lineRule="exact"/>
        <w:ind w:left="0" w:firstLine="560"/>
        <w:rPr>
          <w:rFonts w:ascii="仿宋_GB2312" w:hAnsi="仿宋" w:eastAsia="仿宋_GB2312"/>
          <w:sz w:val="28"/>
          <w:szCs w:val="28"/>
        </w:rPr>
      </w:pPr>
    </w:p>
    <w:p>
      <w:pPr>
        <w:pStyle w:val="3"/>
        <w:tabs>
          <w:tab w:val="left" w:pos="6779"/>
        </w:tabs>
        <w:spacing w:line="520" w:lineRule="exact"/>
        <w:ind w:firstLine="562"/>
        <w:rPr>
          <w:rFonts w:ascii="仿宋_GB2312" w:hAnsi="仿宋" w:eastAsia="仿宋_GB2312"/>
          <w:bCs/>
          <w:color w:val="auto"/>
          <w:sz w:val="28"/>
          <w:szCs w:val="28"/>
        </w:rPr>
      </w:pPr>
      <w:bookmarkStart w:id="6" w:name="_Toc296551346"/>
      <w:r>
        <w:rPr>
          <w:rFonts w:hint="eastAsia" w:ascii="仿宋_GB2312" w:hAnsi="仿宋" w:eastAsia="仿宋_GB2312"/>
          <w:bCs/>
          <w:color w:val="auto"/>
          <w:sz w:val="28"/>
          <w:szCs w:val="28"/>
        </w:rPr>
        <w:t>第十四条</w:t>
      </w:r>
      <w:r>
        <w:rPr>
          <w:rFonts w:ascii="仿宋_GB2312" w:hAnsi="仿宋" w:eastAsia="仿宋_GB2312"/>
          <w:bCs/>
          <w:color w:val="auto"/>
          <w:sz w:val="28"/>
          <w:szCs w:val="28"/>
        </w:rPr>
        <w:t xml:space="preserve"> </w:t>
      </w:r>
      <w:r>
        <w:rPr>
          <w:rFonts w:hint="eastAsia" w:ascii="仿宋_GB2312" w:hAnsi="仿宋" w:eastAsia="仿宋_GB2312"/>
          <w:bCs/>
          <w:color w:val="auto"/>
          <w:sz w:val="28"/>
          <w:szCs w:val="28"/>
        </w:rPr>
        <w:t>托管报告</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 xml:space="preserve">14.1 </w:t>
      </w:r>
      <w:r>
        <w:rPr>
          <w:rFonts w:hint="eastAsia" w:ascii="仿宋_GB2312" w:hAnsi="仿宋" w:eastAsia="仿宋_GB2312"/>
          <w:sz w:val="28"/>
          <w:szCs w:val="28"/>
        </w:rPr>
        <w:t>甲方在每个季度结束之日起</w:t>
      </w:r>
      <w:r>
        <w:rPr>
          <w:rFonts w:ascii="仿宋_GB2312" w:hAnsi="仿宋" w:eastAsia="仿宋_GB2312"/>
          <w:sz w:val="28"/>
          <w:szCs w:val="28"/>
        </w:rPr>
        <w:t>10</w:t>
      </w:r>
      <w:r>
        <w:rPr>
          <w:rFonts w:hint="eastAsia" w:ascii="仿宋_GB2312" w:hAnsi="仿宋" w:eastAsia="仿宋_GB2312"/>
          <w:sz w:val="28"/>
          <w:szCs w:val="28"/>
        </w:rPr>
        <w:t>个工作日内、上半年结束之日起</w:t>
      </w:r>
      <w:r>
        <w:rPr>
          <w:rFonts w:ascii="仿宋_GB2312" w:hAnsi="仿宋" w:eastAsia="仿宋_GB2312"/>
          <w:sz w:val="28"/>
          <w:szCs w:val="28"/>
        </w:rPr>
        <w:t>40</w:t>
      </w:r>
      <w:r>
        <w:rPr>
          <w:rFonts w:hint="eastAsia" w:ascii="仿宋_GB2312" w:hAnsi="仿宋" w:eastAsia="仿宋_GB2312"/>
          <w:sz w:val="28"/>
          <w:szCs w:val="28"/>
        </w:rPr>
        <w:t>个工作日内、每年结束之日起</w:t>
      </w:r>
      <w:r>
        <w:rPr>
          <w:rFonts w:ascii="仿宋_GB2312" w:hAnsi="仿宋" w:eastAsia="仿宋_GB2312"/>
          <w:sz w:val="28"/>
          <w:szCs w:val="28"/>
        </w:rPr>
        <w:t>60</w:t>
      </w:r>
      <w:r>
        <w:rPr>
          <w:rFonts w:hint="eastAsia" w:ascii="仿宋_GB2312" w:hAnsi="仿宋" w:eastAsia="仿宋_GB2312"/>
          <w:sz w:val="28"/>
          <w:szCs w:val="28"/>
        </w:rPr>
        <w:t>个工作日内，编制完成理财产品的季度、半年和年度报告并发送乙方，乙方应在收到甲方季度报告</w:t>
      </w:r>
      <w:r>
        <w:rPr>
          <w:rFonts w:ascii="仿宋_GB2312" w:hAnsi="仿宋" w:eastAsia="仿宋_GB2312"/>
          <w:sz w:val="28"/>
          <w:szCs w:val="28"/>
        </w:rPr>
        <w:t>5</w:t>
      </w:r>
      <w:r>
        <w:rPr>
          <w:rFonts w:hint="eastAsia" w:ascii="仿宋_GB2312" w:hAnsi="仿宋" w:eastAsia="仿宋_GB2312"/>
          <w:sz w:val="28"/>
          <w:szCs w:val="28"/>
        </w:rPr>
        <w:t>个工作日内、半年报告</w:t>
      </w:r>
      <w:r>
        <w:rPr>
          <w:rFonts w:ascii="仿宋_GB2312" w:hAnsi="仿宋" w:eastAsia="仿宋_GB2312"/>
          <w:sz w:val="28"/>
          <w:szCs w:val="28"/>
        </w:rPr>
        <w:t>20</w:t>
      </w:r>
      <w:r>
        <w:rPr>
          <w:rFonts w:hint="eastAsia" w:ascii="仿宋_GB2312" w:hAnsi="仿宋" w:eastAsia="仿宋_GB2312"/>
          <w:sz w:val="28"/>
          <w:szCs w:val="28"/>
        </w:rPr>
        <w:t>个工作日内、年度报告</w:t>
      </w:r>
      <w:r>
        <w:rPr>
          <w:rFonts w:ascii="仿宋_GB2312" w:hAnsi="仿宋" w:eastAsia="仿宋_GB2312"/>
          <w:sz w:val="28"/>
          <w:szCs w:val="28"/>
        </w:rPr>
        <w:t>30</w:t>
      </w:r>
      <w:r>
        <w:rPr>
          <w:rFonts w:hint="eastAsia" w:ascii="仿宋_GB2312" w:hAnsi="仿宋" w:eastAsia="仿宋_GB2312"/>
          <w:sz w:val="28"/>
          <w:szCs w:val="28"/>
        </w:rPr>
        <w:t>个工作日内完成相关财务信息复核并向甲方提供托管报告。</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 xml:space="preserve">14.2 </w:t>
      </w:r>
      <w:r>
        <w:rPr>
          <w:rFonts w:hint="eastAsia" w:ascii="仿宋_GB2312" w:hAnsi="仿宋" w:eastAsia="仿宋_GB2312"/>
          <w:sz w:val="28"/>
          <w:szCs w:val="28"/>
        </w:rPr>
        <w:t>当出现重大违法违规或者发生严重影响理财产品财产安全的事件时，乙方有权报告国家金融监督管理总局。</w:t>
      </w:r>
    </w:p>
    <w:p>
      <w:pPr>
        <w:pStyle w:val="3"/>
        <w:tabs>
          <w:tab w:val="left" w:pos="6779"/>
        </w:tabs>
        <w:spacing w:line="520" w:lineRule="exact"/>
        <w:ind w:firstLine="562"/>
        <w:rPr>
          <w:rFonts w:ascii="仿宋_GB2312" w:hAnsi="仿宋" w:eastAsia="仿宋_GB2312"/>
          <w:bCs/>
          <w:color w:val="auto"/>
          <w:sz w:val="28"/>
          <w:szCs w:val="28"/>
        </w:rPr>
      </w:pPr>
      <w:r>
        <w:rPr>
          <w:rFonts w:hint="eastAsia" w:ascii="仿宋_GB2312" w:hAnsi="仿宋" w:eastAsia="仿宋_GB2312"/>
          <w:bCs/>
          <w:color w:val="auto"/>
          <w:sz w:val="28"/>
          <w:szCs w:val="28"/>
        </w:rPr>
        <w:t>第十五条</w:t>
      </w:r>
      <w:r>
        <w:rPr>
          <w:rFonts w:ascii="仿宋_GB2312" w:hAnsi="仿宋" w:eastAsia="仿宋_GB2312"/>
          <w:bCs/>
          <w:color w:val="auto"/>
          <w:sz w:val="28"/>
          <w:szCs w:val="28"/>
        </w:rPr>
        <w:t xml:space="preserve">  </w:t>
      </w:r>
      <w:r>
        <w:rPr>
          <w:rFonts w:hint="eastAsia" w:ascii="仿宋_GB2312" w:hAnsi="仿宋" w:eastAsia="仿宋_GB2312"/>
          <w:bCs/>
          <w:color w:val="auto"/>
          <w:sz w:val="28"/>
          <w:szCs w:val="28"/>
        </w:rPr>
        <w:t>信息披露</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 xml:space="preserve">15.1 </w:t>
      </w:r>
      <w:r>
        <w:rPr>
          <w:rFonts w:hint="eastAsia" w:ascii="仿宋_GB2312" w:hAnsi="仿宋" w:eastAsia="仿宋_GB2312"/>
          <w:sz w:val="28"/>
          <w:szCs w:val="28"/>
        </w:rPr>
        <w:t>甲方负责按照《商业</w:t>
      </w:r>
      <w:r>
        <w:rPr>
          <w:rFonts w:ascii="仿宋_GB2312" w:hAnsi="仿宋" w:eastAsia="仿宋_GB2312"/>
          <w:sz w:val="28"/>
          <w:szCs w:val="28"/>
        </w:rPr>
        <w:t>银行</w:t>
      </w:r>
      <w:r>
        <w:rPr>
          <w:rFonts w:hint="eastAsia" w:ascii="仿宋_GB2312" w:hAnsi="仿宋" w:eastAsia="仿宋_GB2312"/>
          <w:sz w:val="28"/>
          <w:szCs w:val="28"/>
        </w:rPr>
        <w:t>理财</w:t>
      </w:r>
      <w:r>
        <w:rPr>
          <w:rFonts w:ascii="仿宋_GB2312" w:hAnsi="仿宋" w:eastAsia="仿宋_GB2312"/>
          <w:sz w:val="28"/>
          <w:szCs w:val="28"/>
        </w:rPr>
        <w:t>业务监督管理办法》</w:t>
      </w:r>
      <w:r>
        <w:rPr>
          <w:rFonts w:hint="eastAsia" w:ascii="仿宋_GB2312" w:hAnsi="仿宋" w:eastAsia="仿宋_GB2312"/>
          <w:sz w:val="28"/>
          <w:szCs w:val="28"/>
        </w:rPr>
        <w:t>、《商业银行理财子公司管理办法》、《商业</w:t>
      </w:r>
      <w:r>
        <w:rPr>
          <w:rFonts w:ascii="仿宋_GB2312" w:hAnsi="仿宋" w:eastAsia="仿宋_GB2312"/>
          <w:sz w:val="28"/>
          <w:szCs w:val="28"/>
        </w:rPr>
        <w:t>银行资产托管业务指引》</w:t>
      </w:r>
      <w:r>
        <w:rPr>
          <w:rFonts w:hint="eastAsia" w:ascii="仿宋_GB2312" w:hAnsi="仿宋" w:eastAsia="仿宋_GB2312"/>
          <w:sz w:val="28"/>
          <w:szCs w:val="28"/>
        </w:rPr>
        <w:t>等法律法规、以及其它有关法律法规和理财产品文件的约定进行本理财产品的信息披露。</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15.2 乙方应至少对理财产品过往业绩全部的字段类型及其计算公式进行复核确认</w:t>
      </w:r>
      <w:r>
        <w:rPr>
          <w:rFonts w:hint="eastAsia" w:ascii="仿宋_GB2312" w:hAnsi="仿宋" w:eastAsia="仿宋_GB2312"/>
          <w:sz w:val="28"/>
          <w:szCs w:val="28"/>
        </w:rPr>
        <w:t>。</w:t>
      </w:r>
      <w:r>
        <w:rPr>
          <w:rFonts w:ascii="仿宋_GB2312" w:hAnsi="仿宋" w:eastAsia="仿宋_GB2312"/>
          <w:sz w:val="28"/>
          <w:szCs w:val="28"/>
        </w:rPr>
        <w:t>甲方在披露过往业绩相关字段时</w:t>
      </w:r>
      <w:r>
        <w:rPr>
          <w:rFonts w:hint="eastAsia" w:ascii="仿宋_GB2312" w:hAnsi="仿宋" w:eastAsia="仿宋_GB2312"/>
          <w:sz w:val="28"/>
          <w:szCs w:val="28"/>
        </w:rPr>
        <w:t>，</w:t>
      </w:r>
      <w:r>
        <w:rPr>
          <w:rFonts w:ascii="仿宋_GB2312" w:hAnsi="仿宋" w:eastAsia="仿宋_GB2312"/>
          <w:sz w:val="28"/>
          <w:szCs w:val="28"/>
        </w:rPr>
        <w:t>应采用乙方已复核的净值</w:t>
      </w:r>
      <w:r>
        <w:rPr>
          <w:rFonts w:hint="eastAsia" w:ascii="仿宋_GB2312" w:hAnsi="仿宋" w:eastAsia="仿宋_GB2312"/>
          <w:sz w:val="28"/>
          <w:szCs w:val="28"/>
        </w:rPr>
        <w:t>，且相关计算</w:t>
      </w:r>
      <w:r>
        <w:rPr>
          <w:rFonts w:ascii="仿宋_GB2312" w:hAnsi="仿宋" w:eastAsia="仿宋_GB2312"/>
          <w:sz w:val="28"/>
          <w:szCs w:val="28"/>
        </w:rPr>
        <w:t>公式应由乙方</w:t>
      </w:r>
      <w:r>
        <w:rPr>
          <w:rFonts w:hint="eastAsia" w:ascii="仿宋_GB2312" w:hAnsi="仿宋" w:eastAsia="仿宋_GB2312"/>
          <w:sz w:val="28"/>
          <w:szCs w:val="28"/>
        </w:rPr>
        <w:t>复核</w:t>
      </w:r>
      <w:r>
        <w:rPr>
          <w:rFonts w:ascii="仿宋_GB2312" w:hAnsi="仿宋" w:eastAsia="仿宋_GB2312"/>
          <w:sz w:val="28"/>
          <w:szCs w:val="28"/>
        </w:rPr>
        <w:t>通过</w:t>
      </w:r>
      <w:r>
        <w:rPr>
          <w:rFonts w:hint="eastAsia" w:ascii="仿宋_GB2312" w:hAnsi="仿宋" w:eastAsia="仿宋_GB2312"/>
          <w:sz w:val="28"/>
          <w:szCs w:val="28"/>
        </w:rPr>
        <w:t>。</w:t>
      </w:r>
    </w:p>
    <w:p>
      <w:pPr>
        <w:pStyle w:val="3"/>
        <w:tabs>
          <w:tab w:val="left" w:pos="6779"/>
        </w:tabs>
        <w:spacing w:line="520" w:lineRule="exact"/>
        <w:ind w:firstLine="562"/>
        <w:rPr>
          <w:rFonts w:ascii="仿宋_GB2312" w:hAnsi="仿宋" w:eastAsia="仿宋_GB2312"/>
          <w:bCs/>
          <w:color w:val="auto"/>
          <w:sz w:val="28"/>
          <w:szCs w:val="28"/>
        </w:rPr>
      </w:pPr>
      <w:r>
        <w:rPr>
          <w:rFonts w:hint="eastAsia" w:ascii="仿宋_GB2312" w:hAnsi="仿宋" w:eastAsia="仿宋_GB2312"/>
          <w:bCs/>
          <w:color w:val="auto"/>
          <w:sz w:val="28"/>
          <w:szCs w:val="28"/>
        </w:rPr>
        <w:t>第十六条</w:t>
      </w:r>
      <w:r>
        <w:rPr>
          <w:rFonts w:ascii="仿宋_GB2312" w:hAnsi="仿宋" w:eastAsia="仿宋_GB2312"/>
          <w:bCs/>
          <w:color w:val="auto"/>
          <w:sz w:val="28"/>
          <w:szCs w:val="28"/>
        </w:rPr>
        <w:t xml:space="preserve">  </w:t>
      </w:r>
      <w:r>
        <w:rPr>
          <w:rFonts w:hint="eastAsia" w:ascii="仿宋_GB2312" w:hAnsi="仿宋" w:eastAsia="仿宋_GB2312"/>
          <w:bCs/>
          <w:color w:val="auto"/>
          <w:sz w:val="28"/>
          <w:szCs w:val="28"/>
        </w:rPr>
        <w:t>保密条款</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16.1</w:t>
      </w:r>
      <w:r>
        <w:rPr>
          <w:rFonts w:hint="eastAsia" w:ascii="仿宋_GB2312" w:hAnsi="仿宋" w:eastAsia="仿宋_GB2312"/>
          <w:sz w:val="28"/>
          <w:szCs w:val="28"/>
        </w:rPr>
        <w:t>乙方在此承诺：对于依据本协议所获得的所有关于甲方资产状况、经营状况、理财产品财产管理、运作等相关内容严格保密，并责成因履行本协议而知悉上述机密的人员以及其他任何有可能接触到上述机密的人员保守秘密。未经甲方书面事先同意，乙方不得向第三方披露上述机密，但根据国家有关法律法规规定或监管部门要求的情况除外。</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16.2</w:t>
      </w:r>
      <w:r>
        <w:rPr>
          <w:rFonts w:hint="eastAsia" w:ascii="仿宋_GB2312" w:hAnsi="仿宋" w:eastAsia="仿宋_GB2312"/>
          <w:sz w:val="28"/>
          <w:szCs w:val="28"/>
        </w:rPr>
        <w:t>甲方在此承诺：对于依据本协议所获得的所有关于乙方资产托管方针和策略、托管运作明细以及乙方经营状况等内容严格保密，并责成因履行本协议而知悉上述机密的人员以及其他任何有可能接触到上述机密的人员保守秘密。未经乙方书面事先同意，甲方不得向第三方披露上述机密，但根据国家有关法律法规规定或监管部门要求的情况除外。</w:t>
      </w:r>
    </w:p>
    <w:p>
      <w:pPr>
        <w:pStyle w:val="18"/>
        <w:spacing w:before="0" w:after="0" w:line="520" w:lineRule="exact"/>
        <w:ind w:left="0" w:firstLine="560"/>
        <w:rPr>
          <w:rFonts w:ascii="仿宋_GB2312" w:hAnsi="仿宋" w:eastAsia="仿宋_GB2312"/>
          <w:sz w:val="28"/>
          <w:szCs w:val="28"/>
        </w:rPr>
      </w:pPr>
      <w:r>
        <w:rPr>
          <w:rFonts w:hint="eastAsia" w:ascii="仿宋_GB2312" w:hAnsi="仿宋" w:eastAsia="仿宋_GB2312"/>
          <w:sz w:val="28"/>
          <w:szCs w:val="28"/>
        </w:rPr>
        <w:t>甲乙两方一致同意，在本协议终止后，各方仍须继续遵守本条约定的保密承诺。</w:t>
      </w:r>
    </w:p>
    <w:p>
      <w:pPr>
        <w:pStyle w:val="18"/>
        <w:spacing w:before="0" w:after="0" w:line="520" w:lineRule="exact"/>
        <w:ind w:left="0" w:firstLine="562"/>
        <w:rPr>
          <w:rFonts w:ascii="仿宋_GB2312" w:hAnsi="仿宋" w:eastAsia="仿宋_GB2312"/>
          <w:sz w:val="28"/>
          <w:szCs w:val="28"/>
        </w:rPr>
      </w:pPr>
      <w:r>
        <w:rPr>
          <w:rFonts w:hint="eastAsia" w:ascii="仿宋_GB2312" w:hAnsi="仿宋" w:eastAsia="仿宋_GB2312" w:cs="Times New Roman"/>
          <w:b/>
          <w:bCs/>
          <w:sz w:val="28"/>
          <w:szCs w:val="28"/>
        </w:rPr>
        <w:t>第十七条</w:t>
      </w:r>
      <w:r>
        <w:rPr>
          <w:rFonts w:ascii="仿宋_GB2312" w:hAnsi="仿宋" w:eastAsia="仿宋_GB2312" w:cs="Times New Roman"/>
          <w:b/>
          <w:bCs/>
          <w:sz w:val="28"/>
          <w:szCs w:val="28"/>
        </w:rPr>
        <w:t xml:space="preserve">  </w:t>
      </w:r>
      <w:r>
        <w:rPr>
          <w:rFonts w:hint="eastAsia" w:ascii="仿宋_GB2312" w:hAnsi="仿宋" w:eastAsia="仿宋_GB2312" w:cs="Times New Roman"/>
          <w:b/>
          <w:bCs/>
          <w:sz w:val="28"/>
          <w:szCs w:val="28"/>
        </w:rPr>
        <w:t>终止清算</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17.1</w:t>
      </w:r>
      <w:r>
        <w:rPr>
          <w:rFonts w:hint="eastAsia" w:ascii="仿宋_GB2312" w:hAnsi="仿宋" w:eastAsia="仿宋_GB2312"/>
          <w:sz w:val="28"/>
          <w:szCs w:val="28"/>
        </w:rPr>
        <w:t>理财产品终止的情形依据理财产品说明书的规定执行。</w:t>
      </w:r>
    </w:p>
    <w:p>
      <w:pPr>
        <w:pStyle w:val="18"/>
        <w:spacing w:before="0" w:after="0" w:line="520" w:lineRule="exact"/>
        <w:ind w:left="0" w:firstLine="560"/>
        <w:rPr>
          <w:rFonts w:hint="eastAsia" w:ascii="仿宋_GB2312" w:hAnsi="仿宋" w:eastAsia="仿宋_GB2312"/>
          <w:sz w:val="28"/>
          <w:szCs w:val="28"/>
        </w:rPr>
      </w:pPr>
      <w:r>
        <w:rPr>
          <w:rFonts w:ascii="仿宋_GB2312" w:hAnsi="仿宋" w:eastAsia="仿宋_GB2312"/>
          <w:sz w:val="28"/>
          <w:szCs w:val="28"/>
        </w:rPr>
        <w:t>17.2</w:t>
      </w:r>
      <w:r>
        <w:rPr>
          <w:rFonts w:hint="eastAsia" w:ascii="仿宋_GB2312" w:hAnsi="仿宋" w:eastAsia="仿宋_GB2312"/>
          <w:sz w:val="28"/>
          <w:szCs w:val="28"/>
        </w:rPr>
        <w:t>理财产品终止或依理财产品说明书规定提前终止时，甲方</w:t>
      </w:r>
      <w:r>
        <w:rPr>
          <w:rFonts w:ascii="仿宋_GB2312" w:hAnsi="仿宋" w:eastAsia="仿宋_GB2312"/>
          <w:sz w:val="28"/>
          <w:szCs w:val="28"/>
        </w:rPr>
        <w:t>与</w:t>
      </w:r>
      <w:r>
        <w:rPr>
          <w:rFonts w:hint="eastAsia" w:ascii="仿宋_GB2312" w:hAnsi="仿宋" w:eastAsia="仿宋_GB2312"/>
          <w:sz w:val="28"/>
          <w:szCs w:val="28"/>
        </w:rPr>
        <w:t>乙</w:t>
      </w:r>
      <w:r>
        <w:rPr>
          <w:rFonts w:ascii="仿宋_GB2312" w:hAnsi="仿宋" w:eastAsia="仿宋_GB2312"/>
          <w:sz w:val="28"/>
          <w:szCs w:val="28"/>
        </w:rPr>
        <w:t>方</w:t>
      </w:r>
      <w:r>
        <w:rPr>
          <w:rFonts w:hint="eastAsia" w:ascii="仿宋_GB2312" w:hAnsi="仿宋" w:eastAsia="仿宋_GB2312"/>
          <w:sz w:val="28"/>
          <w:szCs w:val="28"/>
        </w:rPr>
        <w:t>应</w:t>
      </w:r>
      <w:r>
        <w:rPr>
          <w:rFonts w:ascii="仿宋_GB2312" w:hAnsi="仿宋" w:eastAsia="仿宋_GB2312"/>
          <w:sz w:val="28"/>
          <w:szCs w:val="28"/>
        </w:rPr>
        <w:t>核对产品清算前尚未支付的产品费用</w:t>
      </w:r>
      <w:r>
        <w:rPr>
          <w:rFonts w:hint="eastAsia" w:ascii="仿宋_GB2312" w:hAnsi="仿宋" w:eastAsia="仿宋_GB2312"/>
          <w:sz w:val="28"/>
          <w:szCs w:val="28"/>
        </w:rPr>
        <w:t>及税费，并确认产品进入清算流程。</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17.3</w:t>
      </w:r>
      <w:r>
        <w:rPr>
          <w:rFonts w:hint="eastAsia" w:ascii="仿宋_GB2312" w:hAnsi="仿宋" w:eastAsia="仿宋_GB2312"/>
          <w:sz w:val="28"/>
          <w:szCs w:val="28"/>
        </w:rPr>
        <w:t>甲方发送指令给乙方将理财产品财产按理财产品文件约定的收益分配方式进行到期分配划款，甲方应及时向乙方提交销户资料，办理托管账户销户手续，乙方应协助甲方办理托管账户的销户事宜。乙方完成前述事项后，乙方对本产品的托管职责解除。若存在异议，则由甲方与乙方共同协商解决。</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 xml:space="preserve">17.4 </w:t>
      </w:r>
      <w:r>
        <w:rPr>
          <w:rFonts w:hint="eastAsia" w:ascii="仿宋_GB2312" w:hAnsi="仿宋" w:eastAsia="仿宋_GB2312"/>
          <w:sz w:val="28"/>
          <w:szCs w:val="28"/>
        </w:rPr>
        <w:t>乙方按照甲方指令将理财资金划至甲方指定账户。</w:t>
      </w:r>
    </w:p>
    <w:p>
      <w:pPr>
        <w:pStyle w:val="3"/>
        <w:tabs>
          <w:tab w:val="left" w:pos="6779"/>
        </w:tabs>
        <w:spacing w:line="520" w:lineRule="exact"/>
        <w:ind w:firstLine="562"/>
        <w:rPr>
          <w:rFonts w:ascii="仿宋_GB2312" w:hAnsi="仿宋" w:eastAsia="仿宋_GB2312"/>
          <w:bCs/>
          <w:color w:val="auto"/>
          <w:sz w:val="28"/>
          <w:szCs w:val="28"/>
        </w:rPr>
      </w:pPr>
      <w:r>
        <w:rPr>
          <w:rFonts w:hint="eastAsia" w:ascii="仿宋_GB2312" w:hAnsi="仿宋" w:eastAsia="仿宋_GB2312"/>
          <w:bCs/>
          <w:color w:val="auto"/>
          <w:sz w:val="28"/>
          <w:szCs w:val="28"/>
        </w:rPr>
        <w:t>第十八条</w:t>
      </w:r>
      <w:r>
        <w:rPr>
          <w:rFonts w:ascii="仿宋_GB2312" w:hAnsi="仿宋" w:eastAsia="仿宋_GB2312"/>
          <w:bCs/>
          <w:color w:val="auto"/>
          <w:sz w:val="28"/>
          <w:szCs w:val="28"/>
        </w:rPr>
        <w:t xml:space="preserve"> </w:t>
      </w:r>
      <w:r>
        <w:rPr>
          <w:rFonts w:hint="eastAsia" w:ascii="仿宋_GB2312" w:hAnsi="仿宋" w:eastAsia="仿宋_GB2312"/>
          <w:bCs/>
          <w:color w:val="auto"/>
          <w:sz w:val="28"/>
          <w:szCs w:val="28"/>
        </w:rPr>
        <w:t>禁止行为</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18.1</w:t>
      </w:r>
      <w:r>
        <w:rPr>
          <w:rFonts w:hint="eastAsia" w:ascii="仿宋_GB2312" w:hAnsi="仿宋" w:eastAsia="仿宋_GB2312"/>
          <w:sz w:val="28"/>
          <w:szCs w:val="28"/>
        </w:rPr>
        <w:t>本协议当事人禁止从事的行为，包括但不限于：</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18.1.1</w:t>
      </w:r>
      <w:r>
        <w:rPr>
          <w:rFonts w:hint="eastAsia" w:ascii="仿宋_GB2312" w:hAnsi="仿宋" w:eastAsia="仿宋_GB2312"/>
          <w:sz w:val="28"/>
          <w:szCs w:val="28"/>
        </w:rPr>
        <w:t>甲、</w:t>
      </w:r>
      <w:r>
        <w:rPr>
          <w:rFonts w:ascii="仿宋_GB2312" w:hAnsi="仿宋" w:eastAsia="仿宋_GB2312"/>
          <w:sz w:val="28"/>
          <w:szCs w:val="28"/>
        </w:rPr>
        <w:t>乙</w:t>
      </w:r>
      <w:r>
        <w:rPr>
          <w:rFonts w:hint="eastAsia" w:ascii="仿宋_GB2312" w:hAnsi="仿宋" w:eastAsia="仿宋_GB2312"/>
          <w:sz w:val="28"/>
          <w:szCs w:val="28"/>
        </w:rPr>
        <w:t>两方将其固有财产或者他人财产混同于理财财产从事投资。</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18.1.2</w:t>
      </w:r>
      <w:r>
        <w:rPr>
          <w:rFonts w:hint="eastAsia" w:ascii="仿宋_GB2312" w:hAnsi="仿宋" w:eastAsia="仿宋_GB2312"/>
          <w:sz w:val="28"/>
          <w:szCs w:val="28"/>
        </w:rPr>
        <w:t>管理人不公平地对待其管理的不同理财财产，</w:t>
      </w:r>
      <w:r>
        <w:rPr>
          <w:rFonts w:ascii="仿宋_GB2312" w:hAnsi="仿宋" w:eastAsia="仿宋_GB2312"/>
          <w:sz w:val="28"/>
          <w:szCs w:val="28"/>
        </w:rPr>
        <w:t>乙</w:t>
      </w:r>
      <w:r>
        <w:rPr>
          <w:rFonts w:hint="eastAsia" w:ascii="仿宋_GB2312" w:hAnsi="仿宋" w:eastAsia="仿宋_GB2312"/>
          <w:sz w:val="28"/>
          <w:szCs w:val="28"/>
        </w:rPr>
        <w:t>方不公平地对待其托管的不同理财财产。</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18.1.3</w:t>
      </w:r>
      <w:r>
        <w:rPr>
          <w:rFonts w:hint="eastAsia" w:ascii="仿宋_GB2312" w:hAnsi="仿宋" w:eastAsia="仿宋_GB2312"/>
          <w:sz w:val="28"/>
          <w:szCs w:val="28"/>
        </w:rPr>
        <w:t>甲、</w:t>
      </w:r>
      <w:r>
        <w:rPr>
          <w:rFonts w:ascii="仿宋_GB2312" w:hAnsi="仿宋" w:eastAsia="仿宋_GB2312"/>
          <w:sz w:val="28"/>
          <w:szCs w:val="28"/>
        </w:rPr>
        <w:t>乙</w:t>
      </w:r>
      <w:r>
        <w:rPr>
          <w:rFonts w:hint="eastAsia" w:ascii="仿宋_GB2312" w:hAnsi="仿宋" w:eastAsia="仿宋_GB2312"/>
          <w:sz w:val="28"/>
          <w:szCs w:val="28"/>
        </w:rPr>
        <w:t>两方利用理财财产为理财</w:t>
      </w:r>
      <w:r>
        <w:rPr>
          <w:rFonts w:ascii="仿宋_GB2312" w:hAnsi="仿宋" w:eastAsia="仿宋_GB2312"/>
          <w:sz w:val="28"/>
          <w:szCs w:val="28"/>
        </w:rPr>
        <w:t>产品投资者</w:t>
      </w:r>
      <w:r>
        <w:rPr>
          <w:rFonts w:hint="eastAsia" w:ascii="仿宋_GB2312" w:hAnsi="仿宋" w:eastAsia="仿宋_GB2312"/>
          <w:sz w:val="28"/>
          <w:szCs w:val="28"/>
        </w:rPr>
        <w:t>以外的第三人牟取利益。</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18.1.4</w:t>
      </w:r>
      <w:r>
        <w:rPr>
          <w:rFonts w:hint="eastAsia" w:ascii="仿宋_GB2312" w:hAnsi="仿宋" w:eastAsia="仿宋_GB2312"/>
          <w:sz w:val="28"/>
          <w:szCs w:val="28"/>
        </w:rPr>
        <w:t>甲、</w:t>
      </w:r>
      <w:r>
        <w:rPr>
          <w:rFonts w:ascii="仿宋_GB2312" w:hAnsi="仿宋" w:eastAsia="仿宋_GB2312"/>
          <w:sz w:val="28"/>
          <w:szCs w:val="28"/>
        </w:rPr>
        <w:t>乙</w:t>
      </w:r>
      <w:r>
        <w:rPr>
          <w:rFonts w:hint="eastAsia" w:ascii="仿宋_GB2312" w:hAnsi="仿宋" w:eastAsia="仿宋_GB2312"/>
          <w:sz w:val="28"/>
          <w:szCs w:val="28"/>
        </w:rPr>
        <w:t>两方向理财</w:t>
      </w:r>
      <w:r>
        <w:rPr>
          <w:rFonts w:ascii="仿宋_GB2312" w:hAnsi="仿宋" w:eastAsia="仿宋_GB2312"/>
          <w:sz w:val="28"/>
          <w:szCs w:val="28"/>
        </w:rPr>
        <w:t>产品投资者</w:t>
      </w:r>
      <w:r>
        <w:rPr>
          <w:rFonts w:hint="eastAsia" w:ascii="仿宋_GB2312" w:hAnsi="仿宋" w:eastAsia="仿宋_GB2312"/>
          <w:sz w:val="28"/>
          <w:szCs w:val="28"/>
        </w:rPr>
        <w:t>违规承诺收益或者承担损失。</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18.1.5</w:t>
      </w:r>
      <w:r>
        <w:rPr>
          <w:rFonts w:hint="eastAsia" w:ascii="仿宋_GB2312" w:hAnsi="仿宋" w:eastAsia="仿宋_GB2312"/>
          <w:sz w:val="28"/>
          <w:szCs w:val="28"/>
        </w:rPr>
        <w:t>甲、</w:t>
      </w:r>
      <w:r>
        <w:rPr>
          <w:rFonts w:ascii="仿宋_GB2312" w:hAnsi="仿宋" w:eastAsia="仿宋_GB2312"/>
          <w:sz w:val="28"/>
          <w:szCs w:val="28"/>
        </w:rPr>
        <w:t>乙</w:t>
      </w:r>
      <w:r>
        <w:rPr>
          <w:rFonts w:hint="eastAsia" w:ascii="仿宋_GB2312" w:hAnsi="仿宋" w:eastAsia="仿宋_GB2312"/>
          <w:sz w:val="28"/>
          <w:szCs w:val="28"/>
        </w:rPr>
        <w:t>两方对他人泄漏产品运作和管理过程中任何尚未按法律法规规定的方式公开披露的信息。</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18.1.6</w:t>
      </w:r>
      <w:r>
        <w:rPr>
          <w:rFonts w:hint="eastAsia" w:ascii="仿宋_GB2312" w:hAnsi="仿宋" w:eastAsia="仿宋_GB2312"/>
          <w:sz w:val="28"/>
          <w:szCs w:val="28"/>
        </w:rPr>
        <w:t>乙方私自动用或处分理财财产，根据管理人的合法指令、理财文件或本托管协议的规定进行处分的除外。</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18.1.7</w:t>
      </w:r>
      <w:r>
        <w:rPr>
          <w:rFonts w:hint="eastAsia" w:ascii="仿宋_GB2312" w:hAnsi="仿宋" w:eastAsia="仿宋_GB2312"/>
          <w:sz w:val="28"/>
          <w:szCs w:val="28"/>
        </w:rPr>
        <w:t>理财财产用于下列投资或者活动：</w:t>
      </w:r>
    </w:p>
    <w:p>
      <w:pPr>
        <w:pStyle w:val="18"/>
        <w:spacing w:before="0" w:after="0" w:line="520" w:lineRule="exact"/>
        <w:ind w:left="0" w:firstLine="560"/>
        <w:rPr>
          <w:rFonts w:ascii="仿宋_GB2312" w:hAnsi="仿宋" w:eastAsia="仿宋_GB2312"/>
          <w:sz w:val="28"/>
          <w:szCs w:val="28"/>
        </w:rPr>
      </w:pPr>
      <w:r>
        <w:rPr>
          <w:rFonts w:hint="eastAsia" w:ascii="仿宋_GB2312" w:hAnsi="仿宋" w:eastAsia="仿宋_GB2312"/>
          <w:sz w:val="28"/>
          <w:szCs w:val="28"/>
        </w:rPr>
        <w:t>（</w:t>
      </w:r>
      <w:r>
        <w:rPr>
          <w:rFonts w:ascii="仿宋_GB2312" w:hAnsi="仿宋" w:eastAsia="仿宋_GB2312"/>
          <w:sz w:val="28"/>
          <w:szCs w:val="28"/>
        </w:rPr>
        <w:t>1</w:t>
      </w:r>
      <w:r>
        <w:rPr>
          <w:rFonts w:hint="eastAsia" w:ascii="仿宋_GB2312" w:hAnsi="仿宋" w:eastAsia="仿宋_GB2312"/>
          <w:sz w:val="28"/>
          <w:szCs w:val="28"/>
        </w:rPr>
        <w:t>）承销证券；</w:t>
      </w:r>
    </w:p>
    <w:p>
      <w:pPr>
        <w:pStyle w:val="18"/>
        <w:spacing w:before="0" w:after="0" w:line="520" w:lineRule="exact"/>
        <w:ind w:left="0" w:firstLine="560"/>
        <w:rPr>
          <w:rFonts w:ascii="仿宋_GB2312" w:hAnsi="仿宋" w:eastAsia="仿宋_GB2312"/>
          <w:sz w:val="28"/>
          <w:szCs w:val="28"/>
        </w:rPr>
      </w:pPr>
      <w:r>
        <w:rPr>
          <w:rFonts w:hint="eastAsia" w:ascii="仿宋_GB2312" w:hAnsi="仿宋" w:eastAsia="仿宋_GB2312"/>
          <w:sz w:val="28"/>
          <w:szCs w:val="28"/>
        </w:rPr>
        <w:t>（</w:t>
      </w:r>
      <w:r>
        <w:rPr>
          <w:rFonts w:ascii="仿宋_GB2312" w:hAnsi="仿宋" w:eastAsia="仿宋_GB2312"/>
          <w:sz w:val="28"/>
          <w:szCs w:val="28"/>
        </w:rPr>
        <w:t>2</w:t>
      </w:r>
      <w:r>
        <w:rPr>
          <w:rFonts w:hint="eastAsia" w:ascii="仿宋_GB2312" w:hAnsi="仿宋" w:eastAsia="仿宋_GB2312"/>
          <w:sz w:val="28"/>
          <w:szCs w:val="28"/>
        </w:rPr>
        <w:t>）向他人贷款或者提供担保；</w:t>
      </w:r>
    </w:p>
    <w:p>
      <w:pPr>
        <w:pStyle w:val="18"/>
        <w:spacing w:before="0" w:after="0" w:line="520" w:lineRule="exact"/>
        <w:ind w:left="0" w:firstLine="560"/>
        <w:rPr>
          <w:rFonts w:ascii="仿宋_GB2312" w:hAnsi="仿宋" w:eastAsia="仿宋_GB2312"/>
          <w:sz w:val="28"/>
          <w:szCs w:val="28"/>
        </w:rPr>
      </w:pPr>
      <w:r>
        <w:rPr>
          <w:rFonts w:hint="eastAsia" w:ascii="仿宋_GB2312" w:hAnsi="仿宋" w:eastAsia="仿宋_GB2312"/>
          <w:sz w:val="28"/>
          <w:szCs w:val="28"/>
        </w:rPr>
        <w:t>（</w:t>
      </w:r>
      <w:r>
        <w:rPr>
          <w:rFonts w:ascii="仿宋_GB2312" w:hAnsi="仿宋" w:eastAsia="仿宋_GB2312"/>
          <w:sz w:val="28"/>
          <w:szCs w:val="28"/>
        </w:rPr>
        <w:t>3</w:t>
      </w:r>
      <w:r>
        <w:rPr>
          <w:rFonts w:hint="eastAsia" w:ascii="仿宋_GB2312" w:hAnsi="仿宋" w:eastAsia="仿宋_GB2312"/>
          <w:sz w:val="28"/>
          <w:szCs w:val="28"/>
        </w:rPr>
        <w:t>）从事可能使理财财产承担无限责任的投资；</w:t>
      </w:r>
    </w:p>
    <w:p>
      <w:pPr>
        <w:pStyle w:val="18"/>
        <w:spacing w:before="0" w:after="0" w:line="520" w:lineRule="exact"/>
        <w:ind w:left="0" w:firstLine="560"/>
        <w:rPr>
          <w:rFonts w:ascii="仿宋_GB2312" w:hAnsi="仿宋" w:eastAsia="仿宋_GB2312"/>
          <w:sz w:val="28"/>
          <w:szCs w:val="28"/>
        </w:rPr>
      </w:pPr>
      <w:r>
        <w:rPr>
          <w:rFonts w:hint="eastAsia" w:ascii="仿宋_GB2312" w:hAnsi="仿宋" w:eastAsia="仿宋_GB2312"/>
          <w:sz w:val="28"/>
          <w:szCs w:val="28"/>
        </w:rPr>
        <w:t>（</w:t>
      </w:r>
      <w:r>
        <w:rPr>
          <w:rFonts w:ascii="仿宋_GB2312" w:hAnsi="仿宋" w:eastAsia="仿宋_GB2312"/>
          <w:sz w:val="28"/>
          <w:szCs w:val="28"/>
        </w:rPr>
        <w:t>4</w:t>
      </w:r>
      <w:r>
        <w:rPr>
          <w:rFonts w:hint="eastAsia" w:ascii="仿宋_GB2312" w:hAnsi="仿宋" w:eastAsia="仿宋_GB2312"/>
          <w:sz w:val="28"/>
          <w:szCs w:val="28"/>
        </w:rPr>
        <w:t>）从事内幕交易、操纵证券交易价格及其他不正当的证券交易活动；</w:t>
      </w:r>
    </w:p>
    <w:p>
      <w:pPr>
        <w:pStyle w:val="18"/>
        <w:spacing w:before="0" w:after="0" w:line="520" w:lineRule="exact"/>
        <w:ind w:left="0" w:firstLine="560"/>
        <w:rPr>
          <w:rFonts w:ascii="仿宋_GB2312" w:hAnsi="仿宋" w:eastAsia="仿宋_GB2312"/>
          <w:sz w:val="28"/>
          <w:szCs w:val="28"/>
        </w:rPr>
      </w:pPr>
      <w:r>
        <w:rPr>
          <w:rFonts w:hint="eastAsia" w:ascii="仿宋_GB2312" w:hAnsi="仿宋" w:eastAsia="仿宋_GB2312"/>
          <w:sz w:val="28"/>
          <w:szCs w:val="28"/>
        </w:rPr>
        <w:t>（</w:t>
      </w:r>
      <w:r>
        <w:rPr>
          <w:rFonts w:ascii="仿宋_GB2312" w:hAnsi="仿宋" w:eastAsia="仿宋_GB2312"/>
          <w:sz w:val="28"/>
          <w:szCs w:val="28"/>
        </w:rPr>
        <w:t>5</w:t>
      </w:r>
      <w:r>
        <w:rPr>
          <w:rFonts w:hint="eastAsia" w:ascii="仿宋_GB2312" w:hAnsi="仿宋" w:eastAsia="仿宋_GB2312"/>
          <w:sz w:val="28"/>
          <w:szCs w:val="28"/>
        </w:rPr>
        <w:t>）法律法规及国务院证券监督管理机构规定禁止的其他活动；但如果法律法规或监管部门取消上述限制，管理人在履行适当程序后，则理财</w:t>
      </w:r>
      <w:r>
        <w:rPr>
          <w:rFonts w:ascii="仿宋_GB2312" w:hAnsi="仿宋" w:eastAsia="仿宋_GB2312"/>
          <w:sz w:val="28"/>
          <w:szCs w:val="28"/>
        </w:rPr>
        <w:t>产品</w:t>
      </w:r>
      <w:r>
        <w:rPr>
          <w:rFonts w:hint="eastAsia" w:ascii="仿宋_GB2312" w:hAnsi="仿宋" w:eastAsia="仿宋_GB2312"/>
          <w:sz w:val="28"/>
          <w:szCs w:val="28"/>
        </w:rPr>
        <w:t>投资不再受相关限制；</w:t>
      </w:r>
    </w:p>
    <w:p>
      <w:pPr>
        <w:pStyle w:val="18"/>
        <w:spacing w:before="0" w:after="0" w:line="520" w:lineRule="exact"/>
        <w:ind w:left="0" w:firstLine="560"/>
        <w:rPr>
          <w:rFonts w:ascii="仿宋_GB2312" w:hAnsi="仿宋" w:eastAsia="仿宋_GB2312"/>
          <w:sz w:val="28"/>
          <w:szCs w:val="28"/>
        </w:rPr>
      </w:pPr>
      <w:r>
        <w:rPr>
          <w:rFonts w:hint="eastAsia" w:ascii="仿宋_GB2312" w:hAnsi="仿宋" w:eastAsia="仿宋_GB2312"/>
          <w:sz w:val="28"/>
          <w:szCs w:val="28"/>
        </w:rPr>
        <w:t>（</w:t>
      </w:r>
      <w:r>
        <w:rPr>
          <w:rFonts w:ascii="仿宋_GB2312" w:hAnsi="仿宋" w:eastAsia="仿宋_GB2312"/>
          <w:sz w:val="28"/>
          <w:szCs w:val="28"/>
        </w:rPr>
        <w:t>6</w:t>
      </w:r>
      <w:r>
        <w:rPr>
          <w:rFonts w:hint="eastAsia" w:ascii="仿宋_GB2312" w:hAnsi="仿宋" w:eastAsia="仿宋_GB2312"/>
          <w:sz w:val="28"/>
          <w:szCs w:val="28"/>
        </w:rPr>
        <w:t>）理财文件禁止的其他行为。</w:t>
      </w:r>
    </w:p>
    <w:p>
      <w:pPr>
        <w:pStyle w:val="3"/>
        <w:tabs>
          <w:tab w:val="left" w:pos="6779"/>
        </w:tabs>
        <w:spacing w:line="520" w:lineRule="exact"/>
        <w:ind w:firstLine="562"/>
        <w:rPr>
          <w:rFonts w:ascii="仿宋_GB2312" w:hAnsi="仿宋" w:eastAsia="仿宋_GB2312"/>
          <w:bCs/>
          <w:color w:val="auto"/>
          <w:sz w:val="28"/>
          <w:szCs w:val="28"/>
        </w:rPr>
      </w:pPr>
      <w:r>
        <w:rPr>
          <w:rFonts w:hint="eastAsia" w:ascii="仿宋_GB2312" w:hAnsi="仿宋" w:eastAsia="仿宋_GB2312"/>
          <w:bCs/>
          <w:color w:val="auto"/>
          <w:sz w:val="28"/>
          <w:szCs w:val="28"/>
        </w:rPr>
        <w:t>第十九条</w:t>
      </w:r>
      <w:r>
        <w:rPr>
          <w:rFonts w:ascii="仿宋_GB2312" w:hAnsi="仿宋" w:eastAsia="仿宋_GB2312"/>
          <w:bCs/>
          <w:color w:val="auto"/>
          <w:sz w:val="28"/>
          <w:szCs w:val="28"/>
        </w:rPr>
        <w:t xml:space="preserve"> </w:t>
      </w:r>
      <w:r>
        <w:rPr>
          <w:rFonts w:hint="eastAsia" w:ascii="仿宋_GB2312" w:hAnsi="仿宋" w:eastAsia="仿宋_GB2312"/>
          <w:bCs/>
          <w:color w:val="auto"/>
          <w:sz w:val="28"/>
          <w:szCs w:val="28"/>
        </w:rPr>
        <w:t>声明与承诺</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 xml:space="preserve">19.1 </w:t>
      </w:r>
      <w:r>
        <w:rPr>
          <w:rFonts w:hint="eastAsia" w:ascii="仿宋_GB2312" w:hAnsi="仿宋" w:eastAsia="仿宋_GB2312"/>
          <w:sz w:val="28"/>
          <w:szCs w:val="28"/>
        </w:rPr>
        <w:t>甲方声明与承诺</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19.1.1</w:t>
      </w:r>
      <w:r>
        <w:rPr>
          <w:rFonts w:hint="eastAsia" w:ascii="仿宋_GB2312" w:hAnsi="仿宋" w:eastAsia="仿宋_GB2312"/>
          <w:sz w:val="28"/>
          <w:szCs w:val="28"/>
        </w:rPr>
        <w:t>甲方保证拥有国家金融监督管理总局核准的开展理财产品业务资格，有资格作为理财产品的管理人，依据理财产品文件对理财产品进行管理。</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19.1.2</w:t>
      </w:r>
      <w:r>
        <w:rPr>
          <w:rFonts w:hint="eastAsia" w:ascii="仿宋_GB2312" w:hAnsi="仿宋" w:eastAsia="仿宋_GB2312"/>
          <w:sz w:val="28"/>
          <w:szCs w:val="28"/>
        </w:rPr>
        <w:t>甲方应按照反洗钱法律法规要求，建立反洗钱内部控制制度，落实客户身份识别、客户及交易尽职调查、客户身份资料和交易记录保存、可疑交易监控和报告、名单监控等反洗钱义务，并为乙方履行反洗钱义务提供必要协助。就甲方发行或管理的理财产品，甲方应按照监管要求开展产品尽职调查和受益所有人识别，在法律法规允许范围内，配合乙方开展客户身份识别特别是受益所有人的识别工作，并提供必要客户信息、资料。甲方应采取合理措施确保所管理资金来源及用途合规，不涉及洗钱、恐怖融资、制裁违规等违法违规行为。</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19.1.3</w:t>
      </w:r>
      <w:r>
        <w:rPr>
          <w:rFonts w:hint="eastAsia" w:ascii="仿宋_GB2312" w:hAnsi="仿宋" w:eastAsia="仿宋_GB2312"/>
          <w:sz w:val="28"/>
          <w:szCs w:val="28"/>
        </w:rPr>
        <w:t>甲方将选派专业人员负责理财产品管理工作，在国家有关法律法规允许的范围内进行有效的投资运作，承诺以诚信原则，运用科学的手段控制市场风险，以专业知识和投资经验，按照本理财产品规定的投资范围和权限管理理财资金。</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19.1.4</w:t>
      </w:r>
      <w:r>
        <w:rPr>
          <w:rFonts w:hint="eastAsia" w:ascii="仿宋_GB2312" w:hAnsi="仿宋" w:eastAsia="仿宋_GB2312"/>
          <w:sz w:val="28"/>
          <w:szCs w:val="28"/>
        </w:rPr>
        <w:t>甲方保证不挪用理财资金。</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19.1.5</w:t>
      </w:r>
      <w:r>
        <w:rPr>
          <w:rFonts w:hint="eastAsia" w:ascii="仿宋_GB2312" w:hAnsi="仿宋" w:eastAsia="仿宋_GB2312"/>
          <w:sz w:val="28"/>
          <w:szCs w:val="28"/>
        </w:rPr>
        <w:t>甲方承诺理财资金运作符合国家有关法律法规和理财产品文件约定及本协议约定。</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19.1.6</w:t>
      </w:r>
      <w:r>
        <w:rPr>
          <w:rFonts w:hint="eastAsia" w:ascii="仿宋_GB2312" w:hAnsi="仿宋" w:eastAsia="仿宋_GB2312"/>
          <w:sz w:val="28"/>
          <w:szCs w:val="28"/>
        </w:rPr>
        <w:t>甲方在此保证提供给乙方的文件、资料和其他信息完整、真实、合法，没有重大遗漏或误导。</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19.1.7</w:t>
      </w:r>
      <w:r>
        <w:rPr>
          <w:rFonts w:hint="eastAsia" w:ascii="仿宋_GB2312" w:hAnsi="仿宋" w:eastAsia="仿宋_GB2312"/>
          <w:sz w:val="28"/>
          <w:szCs w:val="28"/>
        </w:rPr>
        <w:t>甲方承诺不侵犯本协议约定的乙方的合法权益。</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 xml:space="preserve">19.2 </w:t>
      </w:r>
      <w:r>
        <w:rPr>
          <w:rFonts w:hint="eastAsia" w:ascii="仿宋_GB2312" w:hAnsi="仿宋" w:eastAsia="仿宋_GB2312"/>
          <w:sz w:val="28"/>
          <w:szCs w:val="28"/>
        </w:rPr>
        <w:t>乙方声明与承诺</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19.2.1</w:t>
      </w:r>
      <w:r>
        <w:rPr>
          <w:rFonts w:hint="eastAsia" w:ascii="仿宋_GB2312" w:hAnsi="仿宋" w:eastAsia="仿宋_GB2312"/>
          <w:sz w:val="28"/>
          <w:szCs w:val="28"/>
        </w:rPr>
        <w:t>乙方根据中国证监会及国家金融监督管理总局有关规定，有资格从事证券投资基金托管业务及商业银行理财产品托管业务。</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19.2.2</w:t>
      </w:r>
      <w:r>
        <w:rPr>
          <w:rFonts w:hint="eastAsia" w:ascii="仿宋_GB2312" w:hAnsi="仿宋" w:eastAsia="仿宋_GB2312"/>
          <w:sz w:val="28"/>
          <w:szCs w:val="28"/>
        </w:rPr>
        <w:t>乙方承诺在国家有关法律法规允许的范围内，遵循诚信原则，选派专职人员负责本协议规定的理财资金托管工作。</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19.2.3</w:t>
      </w:r>
      <w:r>
        <w:rPr>
          <w:rFonts w:hint="eastAsia" w:ascii="仿宋_GB2312" w:hAnsi="仿宋" w:eastAsia="仿宋_GB2312"/>
          <w:sz w:val="28"/>
          <w:szCs w:val="28"/>
        </w:rPr>
        <w:t>乙方承诺不侵犯本协议约定的甲方的合法权益。</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19.2.4</w:t>
      </w:r>
      <w:r>
        <w:rPr>
          <w:rFonts w:hint="eastAsia" w:ascii="仿宋_GB2312" w:hAnsi="仿宋" w:eastAsia="仿宋_GB2312"/>
          <w:sz w:val="28"/>
          <w:szCs w:val="28"/>
        </w:rPr>
        <w:t>乙方承诺提供给甲方的数据、报告完整、真实、合法，没有任何重大遗漏或误导。如该数据、报告是依据从甲方或第三方处获得的数据而编制的，则乙方保证编制过程的完整、真实、合法，没有任何重大遗漏或误导，但乙方对该等数据及依据该等数据编制的数据、报告的真实性、完整性、准确性、合法性不承担任何责任。</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19.2.5</w:t>
      </w:r>
      <w:r>
        <w:rPr>
          <w:rFonts w:hint="eastAsia" w:ascii="仿宋_GB2312" w:hAnsi="仿宋" w:eastAsia="仿宋_GB2312"/>
          <w:sz w:val="28"/>
          <w:szCs w:val="28"/>
        </w:rPr>
        <w:t>乙方对甲方的投资监督是对甲方已完成的投资交易的监督，对投资结果不承担责任。</w:t>
      </w:r>
    </w:p>
    <w:p>
      <w:pPr>
        <w:pStyle w:val="3"/>
        <w:tabs>
          <w:tab w:val="left" w:pos="6779"/>
        </w:tabs>
        <w:spacing w:line="520" w:lineRule="exact"/>
        <w:ind w:firstLine="562"/>
        <w:rPr>
          <w:rFonts w:ascii="仿宋_GB2312" w:hAnsi="仿宋" w:eastAsia="仿宋_GB2312"/>
          <w:bCs/>
          <w:color w:val="auto"/>
          <w:sz w:val="28"/>
          <w:szCs w:val="28"/>
        </w:rPr>
      </w:pPr>
      <w:r>
        <w:rPr>
          <w:rFonts w:hint="eastAsia" w:ascii="仿宋_GB2312" w:hAnsi="仿宋" w:eastAsia="仿宋_GB2312"/>
          <w:bCs/>
          <w:color w:val="auto"/>
          <w:sz w:val="28"/>
          <w:szCs w:val="28"/>
        </w:rPr>
        <w:t>第二十条</w:t>
      </w:r>
      <w:r>
        <w:rPr>
          <w:rFonts w:ascii="仿宋_GB2312" w:hAnsi="仿宋" w:eastAsia="仿宋_GB2312"/>
          <w:bCs/>
          <w:color w:val="auto"/>
          <w:sz w:val="28"/>
          <w:szCs w:val="28"/>
        </w:rPr>
        <w:t xml:space="preserve"> </w:t>
      </w:r>
      <w:r>
        <w:rPr>
          <w:rFonts w:hint="eastAsia" w:ascii="仿宋_GB2312" w:hAnsi="仿宋" w:eastAsia="仿宋_GB2312"/>
          <w:bCs/>
          <w:color w:val="auto"/>
          <w:sz w:val="28"/>
          <w:szCs w:val="28"/>
        </w:rPr>
        <w:t>不可抗力</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20.1</w:t>
      </w:r>
      <w:r>
        <w:rPr>
          <w:rFonts w:hint="eastAsia" w:ascii="仿宋_GB2312" w:hAnsi="仿宋" w:eastAsia="仿宋_GB2312"/>
          <w:sz w:val="28"/>
          <w:szCs w:val="28"/>
        </w:rPr>
        <w:t>如果任何一方因不可抗力不能履行本协议时，根据不可抗力的影响，违约方部分或全部免除责任，但法律法规另有规定的除外。任何一方迟延履行后发生不可抗力的，不能免除责任。不可抗力是指任何一方不能预见、不能避免、不能克服的客观情况，包括但不限于火灾，暴雨，地震，飓风，雷击、法律法规发生变化、交易所停市以及各方一致认可的其他属于不可抗力的情况。任何一方因不可抗力不能履行本协议时，应及时通知另一方并在合理期限内提供受到不可抗力影响的证明，并采取适当措施防止另一方损失的扩大。</w:t>
      </w:r>
    </w:p>
    <w:p>
      <w:pPr>
        <w:pStyle w:val="3"/>
        <w:tabs>
          <w:tab w:val="left" w:pos="6779"/>
        </w:tabs>
        <w:spacing w:line="520" w:lineRule="exact"/>
        <w:ind w:firstLine="562"/>
        <w:rPr>
          <w:rFonts w:ascii="仿宋_GB2312" w:hAnsi="仿宋" w:eastAsia="仿宋_GB2312"/>
          <w:bCs/>
          <w:color w:val="auto"/>
          <w:sz w:val="28"/>
          <w:szCs w:val="28"/>
        </w:rPr>
      </w:pPr>
      <w:r>
        <w:rPr>
          <w:rFonts w:hint="eastAsia" w:ascii="仿宋_GB2312" w:hAnsi="仿宋" w:eastAsia="仿宋_GB2312"/>
          <w:bCs/>
          <w:color w:val="auto"/>
          <w:sz w:val="28"/>
          <w:szCs w:val="28"/>
        </w:rPr>
        <w:t>第二十一条</w:t>
      </w:r>
      <w:r>
        <w:rPr>
          <w:rFonts w:ascii="仿宋_GB2312" w:hAnsi="仿宋" w:eastAsia="仿宋_GB2312"/>
          <w:bCs/>
          <w:color w:val="auto"/>
          <w:sz w:val="28"/>
          <w:szCs w:val="28"/>
        </w:rPr>
        <w:t xml:space="preserve">  </w:t>
      </w:r>
      <w:r>
        <w:rPr>
          <w:rFonts w:hint="eastAsia" w:ascii="仿宋_GB2312" w:hAnsi="仿宋" w:eastAsia="仿宋_GB2312"/>
          <w:bCs/>
          <w:color w:val="auto"/>
          <w:sz w:val="28"/>
          <w:szCs w:val="28"/>
        </w:rPr>
        <w:t>违约责任</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21.1</w:t>
      </w:r>
      <w:r>
        <w:rPr>
          <w:rFonts w:hint="eastAsia" w:ascii="仿宋_GB2312" w:hAnsi="仿宋" w:eastAsia="仿宋_GB2312"/>
          <w:sz w:val="28"/>
          <w:szCs w:val="28"/>
        </w:rPr>
        <w:t>除本协议另有约定的情形外，本协议任何一方未能按本协议的约定履行各项义务均将被视为违约，违约方应承担因其违约行为给协议对方造成的全部损失。但甲、乙两方仅依据理财产品文件和本协议约定的职责范围承担相应责任，乙方不因托管职责范围以外的事由单独或与他当事人一起对外承担任何责任。</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21.2</w:t>
      </w:r>
      <w:r>
        <w:rPr>
          <w:rFonts w:hint="eastAsia" w:ascii="仿宋_GB2312" w:hAnsi="仿宋" w:eastAsia="仿宋_GB2312"/>
          <w:sz w:val="28"/>
          <w:szCs w:val="28"/>
        </w:rPr>
        <w:t>从理财产品成立到终止并清算完毕的整个过程，因甲方违反第</w:t>
      </w:r>
      <w:r>
        <w:rPr>
          <w:rFonts w:ascii="仿宋_GB2312" w:hAnsi="仿宋" w:eastAsia="仿宋_GB2312"/>
          <w:sz w:val="28"/>
          <w:szCs w:val="28"/>
        </w:rPr>
        <w:t>4.2</w:t>
      </w:r>
      <w:r>
        <w:rPr>
          <w:rFonts w:hint="eastAsia" w:ascii="仿宋_GB2312" w:hAnsi="仿宋" w:eastAsia="仿宋_GB2312"/>
          <w:sz w:val="28"/>
          <w:szCs w:val="28"/>
        </w:rPr>
        <w:t>条规定或其他条款规定，而使理财产品财产和投资于理财产品的投资者遭受的损失，由甲方承担赔偿责任。</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21.3</w:t>
      </w:r>
      <w:r>
        <w:rPr>
          <w:rFonts w:hint="eastAsia" w:ascii="仿宋_GB2312" w:hAnsi="仿宋" w:eastAsia="仿宋_GB2312"/>
          <w:sz w:val="28"/>
          <w:szCs w:val="28"/>
        </w:rPr>
        <w:t>从理财产品成立到理财产品终止并清算完毕的整个过程，因乙方违反第</w:t>
      </w:r>
      <w:r>
        <w:rPr>
          <w:rFonts w:ascii="仿宋_GB2312" w:hAnsi="仿宋" w:eastAsia="仿宋_GB2312"/>
          <w:sz w:val="28"/>
          <w:szCs w:val="28"/>
        </w:rPr>
        <w:t>5.2</w:t>
      </w:r>
      <w:r>
        <w:rPr>
          <w:rFonts w:hint="eastAsia" w:ascii="仿宋_GB2312" w:hAnsi="仿宋" w:eastAsia="仿宋_GB2312"/>
          <w:sz w:val="28"/>
          <w:szCs w:val="28"/>
        </w:rPr>
        <w:t>条规定或其他条款规定，而使理财产品财产和</w:t>
      </w:r>
      <w:r>
        <w:rPr>
          <w:rFonts w:ascii="仿宋_GB2312" w:hAnsi="仿宋" w:eastAsia="仿宋_GB2312"/>
          <w:sz w:val="28"/>
          <w:szCs w:val="28"/>
        </w:rPr>
        <w:t>投资于理财产品的投资者</w:t>
      </w:r>
      <w:r>
        <w:rPr>
          <w:rFonts w:hint="eastAsia" w:ascii="仿宋_GB2312" w:hAnsi="仿宋" w:eastAsia="仿宋_GB2312"/>
          <w:sz w:val="28"/>
          <w:szCs w:val="28"/>
        </w:rPr>
        <w:t>遭受的损失，由乙方承担赔偿责任。</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21.4</w:t>
      </w:r>
      <w:r>
        <w:rPr>
          <w:rFonts w:hint="eastAsia" w:ascii="仿宋_GB2312" w:hAnsi="仿宋" w:eastAsia="仿宋_GB2312"/>
          <w:sz w:val="28"/>
          <w:szCs w:val="28"/>
        </w:rPr>
        <w:t>为免疑义，本协议项下所称“损失”均指直接经济损失。</w:t>
      </w:r>
    </w:p>
    <w:p>
      <w:pPr>
        <w:pStyle w:val="3"/>
        <w:tabs>
          <w:tab w:val="left" w:pos="6779"/>
        </w:tabs>
        <w:spacing w:line="520" w:lineRule="exact"/>
        <w:ind w:firstLine="562"/>
        <w:rPr>
          <w:rFonts w:ascii="仿宋_GB2312" w:hAnsi="仿宋" w:eastAsia="仿宋_GB2312"/>
          <w:bCs/>
          <w:color w:val="auto"/>
          <w:sz w:val="28"/>
          <w:szCs w:val="28"/>
        </w:rPr>
      </w:pPr>
      <w:r>
        <w:rPr>
          <w:rFonts w:hint="eastAsia" w:ascii="仿宋_GB2312" w:hAnsi="仿宋" w:eastAsia="仿宋_GB2312"/>
          <w:bCs/>
          <w:color w:val="auto"/>
          <w:sz w:val="28"/>
          <w:szCs w:val="28"/>
        </w:rPr>
        <w:t>第二十二条</w:t>
      </w:r>
      <w:r>
        <w:rPr>
          <w:rFonts w:ascii="仿宋_GB2312" w:hAnsi="仿宋" w:eastAsia="仿宋_GB2312"/>
          <w:bCs/>
          <w:color w:val="auto"/>
          <w:sz w:val="28"/>
          <w:szCs w:val="28"/>
        </w:rPr>
        <w:t xml:space="preserve"> </w:t>
      </w:r>
      <w:r>
        <w:rPr>
          <w:rFonts w:hint="eastAsia" w:ascii="仿宋_GB2312" w:hAnsi="仿宋" w:eastAsia="仿宋_GB2312"/>
          <w:bCs/>
          <w:color w:val="auto"/>
          <w:sz w:val="28"/>
          <w:szCs w:val="28"/>
        </w:rPr>
        <w:t>协议生效和终止</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22.1</w:t>
      </w:r>
      <w:r>
        <w:rPr>
          <w:rFonts w:hint="eastAsia" w:ascii="仿宋_GB2312" w:hAnsi="仿宋" w:eastAsia="仿宋_GB2312"/>
          <w:sz w:val="28"/>
          <w:szCs w:val="28"/>
        </w:rPr>
        <w:t>本协议自各方法定代表人</w:t>
      </w:r>
      <w:r>
        <w:rPr>
          <w:rFonts w:ascii="仿宋_GB2312" w:hAnsi="仿宋" w:eastAsia="仿宋_GB2312"/>
          <w:sz w:val="28"/>
          <w:szCs w:val="28"/>
        </w:rPr>
        <w:t>/</w:t>
      </w:r>
      <w:r>
        <w:rPr>
          <w:rFonts w:hint="eastAsia" w:ascii="仿宋_GB2312" w:hAnsi="仿宋" w:eastAsia="仿宋_GB2312"/>
          <w:sz w:val="28"/>
          <w:szCs w:val="28"/>
        </w:rPr>
        <w:t>负责人或授权代理人签章并加盖公章或合同专用章之日起生效。</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22.2</w:t>
      </w:r>
      <w:r>
        <w:rPr>
          <w:rFonts w:hint="eastAsia" w:ascii="仿宋_GB2312" w:hAnsi="仿宋" w:eastAsia="仿宋_GB2312"/>
          <w:sz w:val="28"/>
          <w:szCs w:val="28"/>
        </w:rPr>
        <w:t>根据理财产品文件的约定，理财产品终止的情形出现时，甲方应通知乙方，乙方应配合甲方办理理财产品财产清算的有关事宜。</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 xml:space="preserve">22.3 </w:t>
      </w:r>
      <w:r>
        <w:rPr>
          <w:rFonts w:hint="eastAsia" w:ascii="仿宋_GB2312" w:hAnsi="仿宋" w:eastAsia="仿宋_GB2312"/>
          <w:sz w:val="28"/>
          <w:szCs w:val="28"/>
        </w:rPr>
        <w:t>除以下情形外，在合同有效期内，任何一方不得单方终止本协议：</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22.3.1</w:t>
      </w:r>
      <w:r>
        <w:rPr>
          <w:rFonts w:hint="eastAsia" w:ascii="仿宋_GB2312" w:hAnsi="仿宋" w:eastAsia="仿宋_GB2312"/>
          <w:sz w:val="28"/>
          <w:szCs w:val="28"/>
        </w:rPr>
        <w:t>因各方中任何一方违约造成本协议无法正常履行；</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22.3.2</w:t>
      </w:r>
      <w:r>
        <w:rPr>
          <w:rFonts w:hint="eastAsia" w:ascii="仿宋_GB2312" w:hAnsi="仿宋" w:eastAsia="仿宋_GB2312"/>
          <w:sz w:val="28"/>
          <w:szCs w:val="28"/>
        </w:rPr>
        <w:t>因一方在法律上无行为能力、无偿债能力或其财产因重组、保全、破产或清算等原因被第三方接管，该一方应在上述情况发生之日起</w:t>
      </w:r>
      <w:r>
        <w:rPr>
          <w:rFonts w:ascii="仿宋_GB2312" w:hAnsi="仿宋" w:eastAsia="仿宋_GB2312"/>
          <w:sz w:val="28"/>
          <w:szCs w:val="28"/>
        </w:rPr>
        <w:t>3</w:t>
      </w:r>
      <w:r>
        <w:rPr>
          <w:rFonts w:hint="eastAsia" w:ascii="仿宋_GB2312" w:hAnsi="仿宋" w:eastAsia="仿宋_GB2312"/>
          <w:sz w:val="28"/>
          <w:szCs w:val="28"/>
        </w:rPr>
        <w:t>个工作日内书面告知对方，该对方可以书面文件通知该一方终止本协议。该终止视为该一方原因导致的终止。</w:t>
      </w:r>
    </w:p>
    <w:p>
      <w:pPr>
        <w:pStyle w:val="3"/>
        <w:tabs>
          <w:tab w:val="left" w:pos="6779"/>
        </w:tabs>
        <w:spacing w:line="520" w:lineRule="exact"/>
        <w:ind w:firstLine="562"/>
        <w:rPr>
          <w:rFonts w:ascii="仿宋_GB2312" w:hAnsi="仿宋" w:eastAsia="仿宋_GB2312"/>
          <w:bCs/>
          <w:color w:val="auto"/>
          <w:sz w:val="28"/>
          <w:szCs w:val="28"/>
        </w:rPr>
      </w:pPr>
      <w:r>
        <w:rPr>
          <w:rFonts w:hint="eastAsia" w:ascii="仿宋_GB2312" w:hAnsi="仿宋" w:eastAsia="仿宋_GB2312"/>
          <w:bCs/>
          <w:color w:val="auto"/>
          <w:sz w:val="28"/>
          <w:szCs w:val="28"/>
        </w:rPr>
        <w:t>第二十三条</w:t>
      </w:r>
      <w:r>
        <w:rPr>
          <w:rFonts w:ascii="仿宋_GB2312" w:hAnsi="仿宋" w:eastAsia="仿宋_GB2312"/>
          <w:bCs/>
          <w:color w:val="auto"/>
          <w:sz w:val="28"/>
          <w:szCs w:val="28"/>
        </w:rPr>
        <w:t xml:space="preserve">  </w:t>
      </w:r>
      <w:r>
        <w:rPr>
          <w:rFonts w:hint="eastAsia" w:ascii="仿宋_GB2312" w:hAnsi="仿宋" w:eastAsia="仿宋_GB2312"/>
          <w:bCs/>
          <w:color w:val="auto"/>
          <w:sz w:val="28"/>
          <w:szCs w:val="28"/>
        </w:rPr>
        <w:t>适用法律</w:t>
      </w:r>
    </w:p>
    <w:p>
      <w:pPr>
        <w:pStyle w:val="18"/>
        <w:spacing w:before="0" w:after="0" w:line="520" w:lineRule="exact"/>
        <w:ind w:left="0" w:firstLine="560"/>
        <w:rPr>
          <w:rFonts w:ascii="仿宋_GB2312" w:hAnsi="仿宋" w:eastAsia="仿宋_GB2312"/>
          <w:sz w:val="28"/>
          <w:szCs w:val="28"/>
        </w:rPr>
      </w:pPr>
      <w:r>
        <w:rPr>
          <w:rFonts w:hint="eastAsia" w:ascii="仿宋_GB2312" w:hAnsi="仿宋" w:eastAsia="仿宋_GB2312"/>
          <w:sz w:val="28"/>
          <w:szCs w:val="28"/>
        </w:rPr>
        <w:t>本协议适用中华人民共和国法律（不包括香港、澳门特别行政区和台湾地区法律）。</w:t>
      </w:r>
    </w:p>
    <w:p>
      <w:pPr>
        <w:pStyle w:val="3"/>
        <w:tabs>
          <w:tab w:val="left" w:pos="6779"/>
        </w:tabs>
        <w:spacing w:line="520" w:lineRule="exact"/>
        <w:ind w:firstLine="562"/>
        <w:rPr>
          <w:rFonts w:ascii="仿宋_GB2312" w:hAnsi="仿宋" w:eastAsia="仿宋_GB2312"/>
          <w:bCs/>
          <w:color w:val="auto"/>
          <w:sz w:val="28"/>
          <w:szCs w:val="28"/>
        </w:rPr>
      </w:pPr>
      <w:r>
        <w:rPr>
          <w:rFonts w:hint="eastAsia" w:ascii="仿宋_GB2312" w:hAnsi="仿宋" w:eastAsia="仿宋_GB2312"/>
          <w:bCs/>
          <w:color w:val="auto"/>
          <w:sz w:val="28"/>
          <w:szCs w:val="28"/>
        </w:rPr>
        <w:t>第二十四条</w:t>
      </w:r>
      <w:r>
        <w:rPr>
          <w:rFonts w:ascii="仿宋_GB2312" w:hAnsi="仿宋" w:eastAsia="仿宋_GB2312"/>
          <w:bCs/>
          <w:color w:val="auto"/>
          <w:sz w:val="28"/>
          <w:szCs w:val="28"/>
        </w:rPr>
        <w:t xml:space="preserve"> </w:t>
      </w:r>
      <w:r>
        <w:rPr>
          <w:rFonts w:hint="eastAsia" w:ascii="仿宋_GB2312" w:hAnsi="仿宋" w:eastAsia="仿宋_GB2312"/>
          <w:bCs/>
          <w:color w:val="auto"/>
          <w:sz w:val="28"/>
          <w:szCs w:val="28"/>
        </w:rPr>
        <w:t>争议解决</w:t>
      </w:r>
    </w:p>
    <w:p>
      <w:pPr>
        <w:pStyle w:val="18"/>
        <w:spacing w:before="0" w:after="0" w:line="520" w:lineRule="exact"/>
        <w:ind w:left="0" w:firstLine="560"/>
        <w:rPr>
          <w:rFonts w:ascii="仿宋_GB2312" w:hAnsi="仿宋" w:eastAsia="仿宋_GB2312"/>
          <w:sz w:val="28"/>
          <w:szCs w:val="28"/>
        </w:rPr>
      </w:pPr>
      <w:r>
        <w:rPr>
          <w:rFonts w:hint="eastAsia" w:ascii="仿宋_GB2312" w:hAnsi="仿宋" w:eastAsia="仿宋_GB2312"/>
          <w:sz w:val="28"/>
          <w:szCs w:val="28"/>
        </w:rPr>
        <w:t>凡因本协议发生的及与本协议有关的任何争议</w:t>
      </w:r>
      <w:r>
        <w:rPr>
          <w:rFonts w:ascii="仿宋_GB2312" w:hAnsi="仿宋" w:eastAsia="仿宋_GB2312"/>
          <w:sz w:val="28"/>
          <w:szCs w:val="28"/>
        </w:rPr>
        <w:t>,</w:t>
      </w:r>
      <w:r>
        <w:rPr>
          <w:rFonts w:hint="eastAsia" w:ascii="仿宋_GB2312" w:hAnsi="仿宋" w:eastAsia="仿宋_GB2312"/>
          <w:sz w:val="28"/>
          <w:szCs w:val="28"/>
        </w:rPr>
        <w:t>甲乙两方应协商解决；协商不成的，各方均同意向甲方住所地有管辖权的人民法院提起诉讼或申请强制执行。</w:t>
      </w:r>
    </w:p>
    <w:p>
      <w:pPr>
        <w:pStyle w:val="3"/>
        <w:tabs>
          <w:tab w:val="left" w:pos="6779"/>
        </w:tabs>
        <w:spacing w:line="520" w:lineRule="exact"/>
        <w:ind w:firstLine="562"/>
        <w:rPr>
          <w:rFonts w:ascii="仿宋_GB2312" w:hAnsi="仿宋" w:eastAsia="仿宋_GB2312"/>
          <w:bCs/>
          <w:color w:val="auto"/>
          <w:sz w:val="28"/>
          <w:szCs w:val="28"/>
        </w:rPr>
      </w:pPr>
      <w:r>
        <w:rPr>
          <w:rFonts w:hint="eastAsia" w:ascii="仿宋_GB2312" w:hAnsi="仿宋" w:eastAsia="仿宋_GB2312"/>
          <w:bCs/>
          <w:color w:val="auto"/>
          <w:sz w:val="28"/>
          <w:szCs w:val="28"/>
        </w:rPr>
        <w:t>第二十五条</w:t>
      </w:r>
      <w:r>
        <w:rPr>
          <w:rFonts w:ascii="仿宋_GB2312" w:hAnsi="仿宋" w:eastAsia="仿宋_GB2312"/>
          <w:bCs/>
          <w:color w:val="auto"/>
          <w:sz w:val="28"/>
          <w:szCs w:val="28"/>
        </w:rPr>
        <w:t xml:space="preserve"> </w:t>
      </w:r>
      <w:r>
        <w:rPr>
          <w:rFonts w:hint="eastAsia" w:ascii="仿宋_GB2312" w:hAnsi="仿宋" w:eastAsia="仿宋_GB2312"/>
          <w:bCs/>
          <w:color w:val="auto"/>
          <w:sz w:val="28"/>
          <w:szCs w:val="28"/>
        </w:rPr>
        <w:t>合同变更与解除</w:t>
      </w:r>
    </w:p>
    <w:p>
      <w:pPr>
        <w:pStyle w:val="18"/>
        <w:spacing w:before="0" w:after="0" w:line="520" w:lineRule="exact"/>
        <w:ind w:left="0" w:firstLine="560"/>
        <w:rPr>
          <w:rFonts w:ascii="仿宋_GB2312" w:hAnsi="仿宋" w:eastAsia="仿宋_GB2312"/>
          <w:sz w:val="28"/>
          <w:szCs w:val="28"/>
        </w:rPr>
      </w:pPr>
      <w:r>
        <w:rPr>
          <w:rFonts w:hint="eastAsia" w:ascii="仿宋_GB2312" w:hAnsi="仿宋" w:eastAsia="仿宋_GB2312"/>
          <w:sz w:val="28"/>
          <w:szCs w:val="28"/>
        </w:rPr>
        <w:t>本协议生效后，除本协议已有约定的外，甲乙任何一方均不得擅自变更或解除本协议；如确需变更或解除本协议，应经甲乙各方协商一致，并达成书面协议。</w:t>
      </w:r>
    </w:p>
    <w:p>
      <w:pPr>
        <w:pStyle w:val="3"/>
        <w:tabs>
          <w:tab w:val="left" w:pos="6779"/>
        </w:tabs>
        <w:spacing w:line="520" w:lineRule="exact"/>
        <w:ind w:firstLine="562"/>
        <w:rPr>
          <w:rFonts w:ascii="仿宋_GB2312" w:hAnsi="仿宋" w:eastAsia="仿宋_GB2312"/>
          <w:bCs/>
          <w:color w:val="auto"/>
          <w:sz w:val="28"/>
          <w:szCs w:val="28"/>
        </w:rPr>
      </w:pPr>
      <w:r>
        <w:rPr>
          <w:rFonts w:hint="eastAsia" w:ascii="仿宋_GB2312" w:hAnsi="仿宋" w:eastAsia="仿宋_GB2312"/>
          <w:bCs/>
          <w:color w:val="auto"/>
          <w:sz w:val="28"/>
          <w:szCs w:val="28"/>
        </w:rPr>
        <w:t>第二十六条</w:t>
      </w:r>
      <w:r>
        <w:rPr>
          <w:rFonts w:ascii="仿宋_GB2312" w:hAnsi="仿宋" w:eastAsia="仿宋_GB2312"/>
          <w:bCs/>
          <w:color w:val="auto"/>
          <w:sz w:val="28"/>
          <w:szCs w:val="28"/>
        </w:rPr>
        <w:t xml:space="preserve">  </w:t>
      </w:r>
      <w:r>
        <w:rPr>
          <w:rFonts w:hint="eastAsia" w:ascii="仿宋_GB2312" w:hAnsi="仿宋" w:eastAsia="仿宋_GB2312"/>
          <w:bCs/>
          <w:color w:val="auto"/>
          <w:sz w:val="28"/>
          <w:szCs w:val="28"/>
        </w:rPr>
        <w:t>其它</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 xml:space="preserve">26.1 </w:t>
      </w:r>
      <w:r>
        <w:rPr>
          <w:rFonts w:hint="eastAsia" w:ascii="仿宋_GB2312" w:hAnsi="仿宋" w:eastAsia="仿宋_GB2312"/>
          <w:sz w:val="28"/>
          <w:szCs w:val="28"/>
        </w:rPr>
        <w:t>本协议未尽事宜，甲乙两方可另行达成书面协议，作为本协议附件。本协议的任何附件、修改或补充均构成本协议不可分割的一部分，与本协议具有同等法律效力。</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 xml:space="preserve">26.2 </w:t>
      </w:r>
      <w:r>
        <w:rPr>
          <w:rFonts w:hint="eastAsia" w:ascii="仿宋_GB2312" w:hAnsi="仿宋" w:eastAsia="仿宋_GB2312"/>
          <w:sz w:val="28"/>
          <w:szCs w:val="28"/>
        </w:rPr>
        <w:t>如本协议的某条款或某条款的部分内容被认定无效</w:t>
      </w:r>
      <w:r>
        <w:rPr>
          <w:rFonts w:ascii="仿宋_GB2312" w:hAnsi="仿宋" w:eastAsia="仿宋_GB2312"/>
          <w:sz w:val="28"/>
          <w:szCs w:val="28"/>
        </w:rPr>
        <w:t>,</w:t>
      </w:r>
      <w:r>
        <w:rPr>
          <w:rFonts w:hint="eastAsia" w:ascii="仿宋_GB2312" w:hAnsi="仿宋" w:eastAsia="仿宋_GB2312"/>
          <w:sz w:val="28"/>
          <w:szCs w:val="28"/>
        </w:rPr>
        <w:t>该无效条款或该无效部分并不影响本协议及本协议其它条款或该条款其它内容的有效性。</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26.3</w:t>
      </w:r>
      <w:r>
        <w:rPr>
          <w:rFonts w:hint="eastAsia" w:ascii="仿宋_GB2312" w:hAnsi="仿宋" w:eastAsia="仿宋_GB2312"/>
          <w:sz w:val="28"/>
          <w:szCs w:val="28"/>
        </w:rPr>
        <w:t>本协议构成理财产品文件不可分割的一部分。任何与乙方有关的理财产品托管事宜的规定以本协议的约定为准。</w:t>
      </w:r>
    </w:p>
    <w:p>
      <w:pPr>
        <w:pStyle w:val="18"/>
        <w:spacing w:before="0" w:after="0" w:line="520" w:lineRule="exact"/>
        <w:ind w:left="0" w:firstLine="560"/>
        <w:rPr>
          <w:rFonts w:ascii="仿宋_GB2312" w:hAnsi="仿宋" w:eastAsia="仿宋_GB2312"/>
          <w:sz w:val="28"/>
          <w:szCs w:val="28"/>
        </w:rPr>
      </w:pPr>
      <w:r>
        <w:rPr>
          <w:rFonts w:ascii="仿宋_GB2312" w:hAnsi="仿宋" w:eastAsia="仿宋_GB2312"/>
          <w:sz w:val="28"/>
          <w:szCs w:val="28"/>
        </w:rPr>
        <w:t xml:space="preserve">26.4 </w:t>
      </w:r>
      <w:r>
        <w:rPr>
          <w:rFonts w:hint="eastAsia" w:ascii="仿宋_GB2312" w:hAnsi="仿宋" w:eastAsia="仿宋_GB2312"/>
          <w:sz w:val="28"/>
          <w:szCs w:val="28"/>
        </w:rPr>
        <w:t>本协议正本一式肆份，甲乙双方各持贰份。</w:t>
      </w:r>
    </w:p>
    <w:p>
      <w:pPr>
        <w:pStyle w:val="18"/>
        <w:spacing w:before="0" w:after="0" w:line="520" w:lineRule="exact"/>
        <w:ind w:left="0" w:firstLine="560"/>
        <w:rPr>
          <w:rFonts w:ascii="仿宋_GB2312" w:hAnsi="仿宋" w:eastAsia="仿宋_GB2312"/>
          <w:sz w:val="28"/>
          <w:szCs w:val="28"/>
        </w:rPr>
      </w:pPr>
      <w:r>
        <w:rPr>
          <w:rFonts w:hint="eastAsia" w:ascii="仿宋_GB2312" w:hAnsi="仿宋" w:eastAsia="仿宋_GB2312"/>
          <w:sz w:val="28"/>
          <w:szCs w:val="28"/>
        </w:rPr>
        <w:t>（本页以下无正文）</w:t>
      </w:r>
      <w:bookmarkEnd w:id="6"/>
      <w:bookmarkStart w:id="7" w:name="_Toc132794329"/>
      <w:bookmarkEnd w:id="7"/>
      <w:bookmarkStart w:id="8" w:name="_Toc132794328"/>
      <w:bookmarkEnd w:id="8"/>
      <w:bookmarkStart w:id="9" w:name="_Toc132794327"/>
      <w:bookmarkEnd w:id="9"/>
      <w:bookmarkStart w:id="10" w:name="_Toc132794324"/>
      <w:bookmarkEnd w:id="10"/>
      <w:bookmarkStart w:id="11" w:name="_Toc132794330"/>
      <w:bookmarkEnd w:id="11"/>
      <w:bookmarkStart w:id="12" w:name="_Toc132794325"/>
      <w:bookmarkEnd w:id="12"/>
      <w:bookmarkStart w:id="13" w:name="_Toc132794326"/>
      <w:bookmarkEnd w:id="13"/>
    </w:p>
    <w:p>
      <w:pPr>
        <w:pStyle w:val="3"/>
        <w:spacing w:line="520" w:lineRule="exact"/>
        <w:ind w:firstLine="562"/>
        <w:rPr>
          <w:rFonts w:ascii="仿宋" w:hAnsi="仿宋" w:eastAsia="仿宋"/>
          <w:color w:val="auto"/>
          <w:sz w:val="28"/>
          <w:szCs w:val="28"/>
        </w:rPr>
      </w:pPr>
    </w:p>
    <w:p>
      <w:pPr>
        <w:pStyle w:val="2"/>
      </w:pPr>
      <w:r>
        <w:br w:type="page"/>
      </w:r>
    </w:p>
    <w:p>
      <w:pPr>
        <w:pStyle w:val="3"/>
        <w:spacing w:line="520" w:lineRule="exact"/>
        <w:ind w:firstLine="562"/>
        <w:rPr>
          <w:rFonts w:ascii="仿宋_GB2312" w:hAnsi="仿宋" w:eastAsia="仿宋_GB2312"/>
          <w:color w:val="auto"/>
          <w:sz w:val="28"/>
          <w:szCs w:val="28"/>
        </w:rPr>
      </w:pPr>
      <w:r>
        <w:rPr>
          <w:rFonts w:hint="eastAsia" w:ascii="仿宋_GB2312" w:hAnsi="仿宋" w:eastAsia="仿宋_GB2312"/>
          <w:color w:val="auto"/>
          <w:sz w:val="28"/>
          <w:szCs w:val="28"/>
        </w:rPr>
        <w:t>（本页无正文，为《徽商</w:t>
      </w:r>
      <w:r>
        <w:rPr>
          <w:rFonts w:ascii="仿宋_GB2312" w:hAnsi="仿宋" w:eastAsia="仿宋_GB2312"/>
          <w:color w:val="auto"/>
          <w:sz w:val="28"/>
          <w:szCs w:val="28"/>
        </w:rPr>
        <w:t>银行股份有限公司</w:t>
      </w:r>
      <w:r>
        <w:rPr>
          <w:rFonts w:hint="eastAsia" w:ascii="仿宋_GB2312" w:hAnsi="仿宋" w:eastAsia="仿宋_GB2312"/>
          <w:color w:val="auto"/>
          <w:sz w:val="28"/>
          <w:szCs w:val="28"/>
        </w:rPr>
        <w:t>与信银理财有限责任公司理财产品托管协议》签署页）</w:t>
      </w:r>
    </w:p>
    <w:p>
      <w:pPr>
        <w:spacing w:before="468" w:after="468" w:line="360" w:lineRule="auto"/>
        <w:ind w:firstLine="720"/>
        <w:rPr>
          <w:rFonts w:ascii="仿宋" w:hAnsi="仿宋" w:eastAsia="仿宋"/>
          <w:sz w:val="28"/>
          <w:szCs w:val="28"/>
        </w:rPr>
      </w:pPr>
      <w:r>
        <w:rPr>
          <w:rFonts w:hint="eastAsia" w:ascii="仿宋_GB2312" w:hAnsi="仿宋" w:eastAsia="仿宋_GB2312"/>
          <w:sz w:val="28"/>
          <w:szCs w:val="28"/>
        </w:rPr>
        <w:t>管理人：</w:t>
      </w:r>
      <w:r>
        <w:rPr>
          <w:rFonts w:hint="eastAsia" w:ascii="仿宋_GB2312" w:hAnsi="仿宋" w:eastAsia="仿宋_GB2312"/>
          <w:b/>
          <w:sz w:val="28"/>
          <w:szCs w:val="28"/>
        </w:rPr>
        <w:t>信银理财有限责任公司</w:t>
      </w:r>
      <w:r>
        <w:rPr>
          <w:rFonts w:hint="eastAsia" w:ascii="仿宋_GB2312" w:hAnsi="仿宋" w:eastAsia="仿宋_GB2312"/>
          <w:sz w:val="28"/>
          <w:szCs w:val="28"/>
        </w:rPr>
        <w:t>（</w:t>
      </w:r>
      <w:r>
        <w:rPr>
          <w:rFonts w:ascii="仿宋_GB2312" w:hAnsi="仿宋" w:eastAsia="仿宋_GB2312"/>
          <w:sz w:val="28"/>
          <w:szCs w:val="28"/>
        </w:rPr>
        <w:t>甲方）</w:t>
      </w:r>
      <w:r>
        <w:rPr>
          <w:rFonts w:hint="eastAsia" w:ascii="仿宋_GB2312" w:hAnsi="仿宋" w:eastAsia="仿宋_GB2312"/>
          <w:sz w:val="28"/>
          <w:szCs w:val="28"/>
        </w:rPr>
        <w:t>（</w:t>
      </w:r>
      <w:r>
        <w:rPr>
          <w:rFonts w:ascii="仿宋_GB2312" w:hAnsi="仿宋" w:eastAsia="仿宋_GB2312"/>
          <w:sz w:val="28"/>
          <w:szCs w:val="28"/>
        </w:rPr>
        <w:t>盖章）</w:t>
      </w:r>
    </w:p>
    <w:p>
      <w:pPr>
        <w:spacing w:before="468" w:after="468" w:line="360" w:lineRule="auto"/>
        <w:ind w:firstLine="720"/>
        <w:rPr>
          <w:rFonts w:ascii="仿宋" w:hAnsi="仿宋" w:eastAsia="仿宋"/>
          <w:sz w:val="28"/>
          <w:szCs w:val="28"/>
        </w:rPr>
      </w:pPr>
      <w:r>
        <w:rPr>
          <w:rFonts w:hint="eastAsia" w:ascii="仿宋_GB2312" w:hAnsi="仿宋" w:eastAsia="仿宋_GB2312"/>
          <w:sz w:val="28"/>
          <w:szCs w:val="28"/>
        </w:rPr>
        <w:t>法定代表人或授权代理人：</w:t>
      </w:r>
    </w:p>
    <w:p>
      <w:pPr>
        <w:spacing w:before="468" w:after="468" w:line="360" w:lineRule="auto"/>
        <w:ind w:firstLine="720"/>
        <w:rPr>
          <w:rFonts w:ascii="仿宋_GB2312" w:hAnsi="仿宋" w:eastAsia="仿宋_GB2312"/>
          <w:sz w:val="28"/>
          <w:szCs w:val="28"/>
        </w:rPr>
      </w:pPr>
    </w:p>
    <w:p>
      <w:pPr>
        <w:spacing w:before="468" w:after="468" w:line="360" w:lineRule="auto"/>
        <w:ind w:firstLine="720"/>
        <w:rPr>
          <w:rFonts w:ascii="仿宋_GB2312" w:hAnsi="仿宋" w:eastAsia="仿宋_GB2312"/>
          <w:sz w:val="28"/>
          <w:szCs w:val="28"/>
        </w:rPr>
      </w:pPr>
    </w:p>
    <w:p>
      <w:pPr>
        <w:spacing w:before="468" w:after="468" w:line="360" w:lineRule="auto"/>
        <w:ind w:firstLine="720"/>
        <w:rPr>
          <w:rFonts w:ascii="仿宋" w:hAnsi="仿宋" w:eastAsia="仿宋"/>
          <w:sz w:val="28"/>
          <w:szCs w:val="28"/>
        </w:rPr>
      </w:pPr>
      <w:r>
        <w:rPr>
          <w:rFonts w:hint="eastAsia" w:ascii="仿宋_GB2312" w:hAnsi="仿宋" w:eastAsia="仿宋_GB2312"/>
          <w:sz w:val="28"/>
          <w:szCs w:val="28"/>
        </w:rPr>
        <w:t>托管人：</w:t>
      </w:r>
      <w:r>
        <w:rPr>
          <w:rFonts w:hint="eastAsia" w:ascii="仿宋_GB2312" w:hAnsi="仿宋" w:eastAsia="仿宋_GB2312"/>
          <w:b/>
          <w:bCs/>
          <w:sz w:val="28"/>
          <w:szCs w:val="28"/>
        </w:rPr>
        <w:t>徽商</w:t>
      </w:r>
      <w:r>
        <w:rPr>
          <w:rFonts w:ascii="仿宋_GB2312" w:hAnsi="仿宋" w:eastAsia="仿宋_GB2312"/>
          <w:b/>
          <w:bCs/>
          <w:sz w:val="28"/>
          <w:szCs w:val="28"/>
        </w:rPr>
        <w:t>银行股份有限公司</w:t>
      </w:r>
      <w:r>
        <w:rPr>
          <w:rFonts w:hint="eastAsia" w:ascii="仿宋_GB2312" w:hAnsi="仿宋" w:eastAsia="仿宋_GB2312"/>
          <w:sz w:val="28"/>
          <w:szCs w:val="28"/>
        </w:rPr>
        <w:t>（乙</w:t>
      </w:r>
      <w:r>
        <w:rPr>
          <w:rFonts w:ascii="仿宋_GB2312" w:hAnsi="仿宋" w:eastAsia="仿宋_GB2312"/>
          <w:sz w:val="28"/>
          <w:szCs w:val="28"/>
        </w:rPr>
        <w:t>方）</w:t>
      </w:r>
      <w:r>
        <w:rPr>
          <w:rFonts w:hint="eastAsia" w:ascii="仿宋_GB2312" w:hAnsi="仿宋" w:eastAsia="仿宋_GB2312"/>
          <w:sz w:val="28"/>
          <w:szCs w:val="28"/>
        </w:rPr>
        <w:t>（</w:t>
      </w:r>
      <w:r>
        <w:rPr>
          <w:rFonts w:ascii="仿宋_GB2312" w:hAnsi="仿宋" w:eastAsia="仿宋_GB2312"/>
          <w:sz w:val="28"/>
          <w:szCs w:val="28"/>
        </w:rPr>
        <w:t>盖章）</w:t>
      </w:r>
    </w:p>
    <w:p>
      <w:pPr>
        <w:spacing w:before="468" w:after="468" w:line="360" w:lineRule="auto"/>
        <w:ind w:firstLine="720"/>
        <w:rPr>
          <w:rFonts w:ascii="仿宋_GB2312" w:hAnsi="仿宋" w:eastAsia="仿宋_GB2312"/>
          <w:sz w:val="28"/>
          <w:szCs w:val="28"/>
        </w:rPr>
      </w:pPr>
      <w:r>
        <w:rPr>
          <w:rFonts w:hint="eastAsia" w:ascii="仿宋_GB2312" w:hAnsi="仿宋" w:eastAsia="仿宋_GB2312"/>
          <w:sz w:val="28"/>
          <w:szCs w:val="28"/>
        </w:rPr>
        <w:t>负责人或授权代理人：</w:t>
      </w:r>
    </w:p>
    <w:p>
      <w:pPr>
        <w:spacing w:before="468" w:after="468" w:line="360" w:lineRule="auto"/>
        <w:ind w:firstLine="720"/>
        <w:outlineLvl w:val="0"/>
        <w:rPr>
          <w:rFonts w:ascii="仿宋" w:hAnsi="仿宋" w:eastAsia="仿宋"/>
          <w:sz w:val="28"/>
          <w:szCs w:val="28"/>
        </w:rPr>
      </w:pPr>
      <w:r>
        <w:rPr>
          <w:rFonts w:hint="eastAsia" w:ascii="仿宋" w:hAnsi="仿宋" w:eastAsia="仿宋"/>
          <w:sz w:val="28"/>
          <w:szCs w:val="28"/>
        </w:rPr>
        <w:t>合同签订地：</w:t>
      </w:r>
      <w:r>
        <w:rPr>
          <w:rFonts w:ascii="仿宋" w:hAnsi="仿宋" w:eastAsia="仿宋"/>
          <w:sz w:val="28"/>
          <w:szCs w:val="28"/>
        </w:rPr>
        <w:t xml:space="preserve"> </w:t>
      </w:r>
    </w:p>
    <w:p>
      <w:pPr>
        <w:spacing w:line="360" w:lineRule="auto"/>
        <w:ind w:right="23"/>
        <w:jc w:val="left"/>
        <w:rPr>
          <w:rFonts w:ascii="仿宋" w:hAnsi="仿宋" w:eastAsia="仿宋"/>
          <w:sz w:val="28"/>
          <w:szCs w:val="28"/>
        </w:rPr>
      </w:pPr>
      <w:r>
        <w:rPr>
          <w:rFonts w:ascii="仿宋" w:hAnsi="仿宋" w:eastAsia="仿宋"/>
          <w:sz w:val="28"/>
          <w:szCs w:val="28"/>
        </w:rPr>
        <w:t xml:space="preserve">     </w:t>
      </w:r>
      <w:r>
        <w:rPr>
          <w:rFonts w:hint="eastAsia" w:ascii="仿宋" w:hAnsi="仿宋" w:eastAsia="仿宋"/>
          <w:sz w:val="28"/>
          <w:szCs w:val="28"/>
        </w:rPr>
        <w:t>合同签订日期：年</w:t>
      </w:r>
      <w:r>
        <w:rPr>
          <w:rFonts w:ascii="仿宋" w:hAnsi="仿宋" w:eastAsia="仿宋"/>
          <w:sz w:val="28"/>
          <w:szCs w:val="28"/>
        </w:rPr>
        <w:t xml:space="preserve">   </w:t>
      </w:r>
      <w:r>
        <w:rPr>
          <w:rFonts w:hint="eastAsia" w:ascii="仿宋" w:hAnsi="仿宋" w:eastAsia="仿宋"/>
          <w:sz w:val="28"/>
          <w:szCs w:val="28"/>
        </w:rPr>
        <w:t>月</w:t>
      </w:r>
      <w:r>
        <w:rPr>
          <w:rFonts w:ascii="仿宋" w:hAnsi="仿宋" w:eastAsia="仿宋"/>
          <w:sz w:val="28"/>
          <w:szCs w:val="28"/>
        </w:rPr>
        <w:t xml:space="preserve">    </w:t>
      </w:r>
      <w:r>
        <w:rPr>
          <w:rFonts w:hint="eastAsia" w:ascii="仿宋" w:hAnsi="仿宋" w:eastAsia="仿宋"/>
          <w:sz w:val="28"/>
          <w:szCs w:val="28"/>
        </w:rPr>
        <w:t>日</w:t>
      </w:r>
    </w:p>
    <w:p>
      <w:pPr>
        <w:spacing w:line="360" w:lineRule="auto"/>
        <w:ind w:right="23"/>
        <w:jc w:val="left"/>
        <w:rPr>
          <w:rFonts w:ascii="仿宋" w:hAnsi="仿宋" w:eastAsia="仿宋"/>
          <w:sz w:val="28"/>
          <w:szCs w:val="28"/>
        </w:rPr>
      </w:pPr>
      <w:r>
        <w:rPr>
          <w:rFonts w:ascii="仿宋" w:hAnsi="仿宋" w:eastAsia="仿宋"/>
          <w:sz w:val="28"/>
          <w:szCs w:val="28"/>
        </w:rPr>
        <w:br w:type="page"/>
      </w:r>
    </w:p>
    <w:p>
      <w:pPr>
        <w:rPr>
          <w:rFonts w:ascii="仿宋" w:hAnsi="仿宋" w:eastAsia="仿宋"/>
          <w:sz w:val="28"/>
          <w:szCs w:val="28"/>
        </w:rPr>
      </w:pPr>
    </w:p>
    <w:p>
      <w:pPr>
        <w:spacing w:line="360" w:lineRule="auto"/>
        <w:ind w:right="23"/>
        <w:jc w:val="left"/>
        <w:rPr>
          <w:rFonts w:ascii="仿宋" w:hAnsi="仿宋" w:eastAsia="仿宋" w:cs="MingLiU"/>
          <w:sz w:val="28"/>
          <w:szCs w:val="28"/>
        </w:rPr>
      </w:pPr>
      <w:r>
        <w:rPr>
          <w:rFonts w:hint="eastAsia" w:ascii="仿宋" w:hAnsi="仿宋" w:eastAsia="仿宋" w:cs="MingLiU"/>
          <w:sz w:val="28"/>
          <w:szCs w:val="28"/>
        </w:rPr>
        <w:t>附件一</w:t>
      </w:r>
    </w:p>
    <w:p>
      <w:pPr>
        <w:spacing w:line="360" w:lineRule="auto"/>
        <w:jc w:val="center"/>
        <w:rPr>
          <w:rFonts w:ascii="仿宋" w:hAnsi="仿宋" w:eastAsia="仿宋"/>
          <w:b/>
          <w:bCs/>
          <w:sz w:val="28"/>
          <w:szCs w:val="28"/>
        </w:rPr>
      </w:pPr>
      <w:r>
        <w:rPr>
          <w:rFonts w:hint="eastAsia" w:ascii="仿宋" w:hAnsi="仿宋" w:eastAsia="仿宋"/>
          <w:b/>
          <w:bCs/>
          <w:sz w:val="28"/>
          <w:szCs w:val="28"/>
        </w:rPr>
        <w:t>划款指令书</w:t>
      </w:r>
    </w:p>
    <w:p>
      <w:pPr>
        <w:spacing w:line="360" w:lineRule="auto"/>
        <w:rPr>
          <w:rFonts w:ascii="仿宋" w:hAnsi="仿宋" w:eastAsia="仿宋"/>
          <w:sz w:val="28"/>
          <w:szCs w:val="28"/>
        </w:rPr>
      </w:pPr>
      <w:r>
        <w:rPr>
          <w:rFonts w:ascii="仿宋" w:hAnsi="仿宋" w:eastAsia="仿宋"/>
          <w:sz w:val="28"/>
          <w:szCs w:val="28"/>
        </w:rPr>
        <w:t xml:space="preserve">                                               </w:t>
      </w:r>
      <w:r>
        <w:rPr>
          <w:rFonts w:hint="eastAsia" w:ascii="仿宋" w:hAnsi="仿宋" w:eastAsia="仿宋"/>
          <w:sz w:val="28"/>
          <w:szCs w:val="28"/>
        </w:rPr>
        <w:t>编号：第</w:t>
      </w:r>
      <w:r>
        <w:rPr>
          <w:rFonts w:ascii="仿宋" w:hAnsi="仿宋" w:eastAsia="仿宋"/>
          <w:sz w:val="28"/>
          <w:szCs w:val="28"/>
        </w:rPr>
        <w:t xml:space="preserve">   </w:t>
      </w:r>
      <w:r>
        <w:rPr>
          <w:rFonts w:hint="eastAsia" w:ascii="仿宋" w:hAnsi="仿宋" w:eastAsia="仿宋"/>
          <w:sz w:val="28"/>
          <w:szCs w:val="28"/>
        </w:rPr>
        <w:t>号</w:t>
      </w:r>
    </w:p>
    <w:p>
      <w:pPr>
        <w:spacing w:line="360" w:lineRule="auto"/>
        <w:rPr>
          <w:rFonts w:ascii="仿宋" w:hAnsi="仿宋" w:eastAsia="仿宋"/>
          <w:sz w:val="28"/>
          <w:szCs w:val="28"/>
        </w:rPr>
      </w:pPr>
      <w:r>
        <w:rPr>
          <w:rFonts w:hint="eastAsia" w:ascii="仿宋_GB2312" w:hAnsi="仿宋" w:eastAsia="仿宋_GB2312"/>
          <w:sz w:val="28"/>
          <w:szCs w:val="28"/>
        </w:rPr>
        <w:t>【托管人】</w:t>
      </w:r>
      <w:r>
        <w:rPr>
          <w:rFonts w:hint="eastAsia" w:ascii="仿宋" w:hAnsi="仿宋" w:eastAsia="仿宋"/>
          <w:sz w:val="28"/>
          <w:szCs w:val="28"/>
        </w:rPr>
        <w:t>：</w:t>
      </w:r>
    </w:p>
    <w:p>
      <w:pPr>
        <w:pStyle w:val="14"/>
        <w:ind w:firstLine="557"/>
        <w:rPr>
          <w:rFonts w:ascii="仿宋" w:hAnsi="仿宋" w:eastAsia="仿宋"/>
          <w:sz w:val="28"/>
          <w:szCs w:val="28"/>
        </w:rPr>
      </w:pPr>
      <w:r>
        <w:rPr>
          <w:rFonts w:hint="eastAsia" w:ascii="仿宋" w:hAnsi="仿宋" w:eastAsia="仿宋"/>
          <w:sz w:val="28"/>
          <w:szCs w:val="28"/>
        </w:rPr>
        <w:t>敬请你行根据以下提供的收款人名称、开户行、账号、划款日期、划款金额及时</w:t>
      </w:r>
      <w:r>
        <w:rPr>
          <w:rFonts w:ascii="仿宋" w:hAnsi="仿宋" w:eastAsia="仿宋"/>
          <w:sz w:val="28"/>
          <w:szCs w:val="28"/>
        </w:rPr>
        <w:t>安排</w:t>
      </w:r>
      <w:r>
        <w:rPr>
          <w:rFonts w:hint="eastAsia" w:ascii="仿宋" w:hAnsi="仿宋" w:eastAsia="仿宋"/>
          <w:sz w:val="28"/>
          <w:szCs w:val="28"/>
        </w:rPr>
        <w:t>划款。</w:t>
      </w:r>
    </w:p>
    <w:tbl>
      <w:tblPr>
        <w:tblStyle w:val="33"/>
        <w:tblW w:w="92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9"/>
        <w:gridCol w:w="2638"/>
        <w:gridCol w:w="1980"/>
        <w:gridCol w:w="23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69" w:type="dxa"/>
            <w:noWrap w:val="0"/>
          </w:tcPr>
          <w:p>
            <w:pPr>
              <w:spacing w:line="360" w:lineRule="auto"/>
              <w:rPr>
                <w:rFonts w:ascii="仿宋" w:hAnsi="仿宋" w:eastAsia="仿宋"/>
                <w:b/>
                <w:bCs/>
                <w:sz w:val="28"/>
                <w:szCs w:val="28"/>
              </w:rPr>
            </w:pPr>
            <w:r>
              <w:rPr>
                <w:rFonts w:hint="eastAsia" w:ascii="仿宋" w:hAnsi="仿宋" w:eastAsia="仿宋"/>
                <w:b/>
                <w:bCs/>
                <w:sz w:val="28"/>
                <w:szCs w:val="28"/>
              </w:rPr>
              <w:t>清算日期</w:t>
            </w:r>
          </w:p>
        </w:tc>
        <w:tc>
          <w:tcPr>
            <w:tcW w:w="2638" w:type="dxa"/>
            <w:noWrap w:val="0"/>
            <w:vAlign w:val="center"/>
          </w:tcPr>
          <w:p>
            <w:pPr>
              <w:spacing w:line="360" w:lineRule="auto"/>
              <w:jc w:val="center"/>
              <w:rPr>
                <w:rFonts w:ascii="仿宋" w:hAnsi="仿宋" w:eastAsia="仿宋"/>
                <w:position w:val="-6"/>
                <w:sz w:val="28"/>
                <w:szCs w:val="28"/>
              </w:rPr>
            </w:pPr>
            <w:r>
              <w:rPr>
                <w:rFonts w:hint="eastAsia" w:ascii="仿宋" w:hAnsi="仿宋" w:eastAsia="仿宋"/>
                <w:position w:val="-6"/>
                <w:sz w:val="28"/>
                <w:szCs w:val="28"/>
              </w:rPr>
              <w:t>年</w:t>
            </w:r>
            <w:r>
              <w:rPr>
                <w:rFonts w:ascii="仿宋" w:hAnsi="仿宋" w:eastAsia="仿宋"/>
                <w:position w:val="-6"/>
                <w:sz w:val="28"/>
                <w:szCs w:val="28"/>
              </w:rPr>
              <w:t xml:space="preserve">  </w:t>
            </w:r>
            <w:r>
              <w:rPr>
                <w:rFonts w:hint="eastAsia" w:ascii="仿宋" w:hAnsi="仿宋" w:eastAsia="仿宋"/>
                <w:position w:val="-6"/>
                <w:sz w:val="28"/>
                <w:szCs w:val="28"/>
              </w:rPr>
              <w:t>月</w:t>
            </w:r>
            <w:r>
              <w:rPr>
                <w:rFonts w:ascii="仿宋" w:hAnsi="仿宋" w:eastAsia="仿宋"/>
                <w:position w:val="-6"/>
                <w:sz w:val="28"/>
                <w:szCs w:val="28"/>
              </w:rPr>
              <w:t xml:space="preserve">  </w:t>
            </w:r>
            <w:r>
              <w:rPr>
                <w:rFonts w:hint="eastAsia" w:ascii="仿宋" w:hAnsi="仿宋" w:eastAsia="仿宋"/>
                <w:position w:val="-6"/>
                <w:sz w:val="28"/>
                <w:szCs w:val="28"/>
              </w:rPr>
              <w:t>日</w:t>
            </w:r>
          </w:p>
        </w:tc>
        <w:tc>
          <w:tcPr>
            <w:tcW w:w="1980" w:type="dxa"/>
            <w:noWrap w:val="0"/>
          </w:tcPr>
          <w:p>
            <w:pPr>
              <w:spacing w:line="360" w:lineRule="auto"/>
              <w:rPr>
                <w:rFonts w:ascii="仿宋" w:hAnsi="仿宋" w:eastAsia="仿宋"/>
                <w:b/>
                <w:bCs/>
                <w:sz w:val="28"/>
                <w:szCs w:val="28"/>
              </w:rPr>
            </w:pPr>
            <w:r>
              <w:rPr>
                <w:rFonts w:hint="eastAsia" w:ascii="仿宋" w:hAnsi="仿宋" w:eastAsia="仿宋"/>
                <w:b/>
                <w:bCs/>
                <w:sz w:val="28"/>
                <w:szCs w:val="28"/>
              </w:rPr>
              <w:t>最迟到账时间</w:t>
            </w:r>
          </w:p>
        </w:tc>
        <w:tc>
          <w:tcPr>
            <w:tcW w:w="2340" w:type="dxa"/>
            <w:noWrap w:val="0"/>
            <w:vAlign w:val="center"/>
          </w:tcPr>
          <w:p>
            <w:pPr>
              <w:spacing w:line="360" w:lineRule="auto"/>
              <w:jc w:val="center"/>
              <w:rPr>
                <w:rFonts w:ascii="仿宋" w:hAnsi="仿宋" w:eastAsia="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269" w:type="dxa"/>
            <w:noWrap w:val="0"/>
          </w:tcPr>
          <w:p>
            <w:pPr>
              <w:spacing w:line="360" w:lineRule="auto"/>
              <w:rPr>
                <w:rFonts w:ascii="仿宋" w:hAnsi="仿宋" w:eastAsia="仿宋"/>
                <w:b/>
                <w:bCs/>
                <w:sz w:val="28"/>
                <w:szCs w:val="28"/>
              </w:rPr>
            </w:pPr>
            <w:r>
              <w:rPr>
                <w:rFonts w:hint="eastAsia" w:ascii="仿宋" w:hAnsi="仿宋" w:eastAsia="仿宋"/>
                <w:b/>
                <w:bCs/>
                <w:sz w:val="28"/>
                <w:szCs w:val="28"/>
              </w:rPr>
              <w:t>收款人名称</w:t>
            </w:r>
          </w:p>
        </w:tc>
        <w:tc>
          <w:tcPr>
            <w:tcW w:w="6958" w:type="dxa"/>
            <w:gridSpan w:val="3"/>
            <w:noWrap w:val="0"/>
            <w:vAlign w:val="center"/>
          </w:tcPr>
          <w:p>
            <w:pPr>
              <w:spacing w:line="360" w:lineRule="auto"/>
              <w:rPr>
                <w:rFonts w:ascii="仿宋" w:hAnsi="仿宋" w:eastAsia="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69" w:type="dxa"/>
            <w:noWrap w:val="0"/>
          </w:tcPr>
          <w:p>
            <w:pPr>
              <w:spacing w:line="360" w:lineRule="auto"/>
              <w:rPr>
                <w:rFonts w:ascii="仿宋" w:hAnsi="仿宋" w:eastAsia="仿宋"/>
                <w:b/>
                <w:bCs/>
                <w:sz w:val="28"/>
                <w:szCs w:val="28"/>
              </w:rPr>
            </w:pPr>
            <w:r>
              <w:rPr>
                <w:rFonts w:hint="eastAsia" w:ascii="仿宋" w:hAnsi="仿宋" w:eastAsia="仿宋"/>
                <w:b/>
                <w:bCs/>
                <w:sz w:val="28"/>
                <w:szCs w:val="28"/>
              </w:rPr>
              <w:t>收款人开户银行</w:t>
            </w:r>
          </w:p>
        </w:tc>
        <w:tc>
          <w:tcPr>
            <w:tcW w:w="2638" w:type="dxa"/>
            <w:noWrap w:val="0"/>
          </w:tcPr>
          <w:p>
            <w:pPr>
              <w:spacing w:line="360" w:lineRule="auto"/>
              <w:rPr>
                <w:rFonts w:ascii="仿宋" w:hAnsi="仿宋" w:eastAsia="仿宋"/>
                <w:sz w:val="28"/>
                <w:szCs w:val="28"/>
              </w:rPr>
            </w:pPr>
          </w:p>
        </w:tc>
        <w:tc>
          <w:tcPr>
            <w:tcW w:w="1980" w:type="dxa"/>
            <w:noWrap w:val="0"/>
          </w:tcPr>
          <w:p>
            <w:pPr>
              <w:spacing w:line="360" w:lineRule="auto"/>
              <w:rPr>
                <w:rFonts w:ascii="仿宋" w:hAnsi="仿宋" w:eastAsia="仿宋"/>
                <w:b/>
                <w:bCs/>
                <w:sz w:val="28"/>
                <w:szCs w:val="28"/>
              </w:rPr>
            </w:pPr>
            <w:r>
              <w:rPr>
                <w:rFonts w:hint="eastAsia" w:ascii="仿宋" w:hAnsi="仿宋" w:eastAsia="仿宋"/>
                <w:b/>
                <w:bCs/>
                <w:sz w:val="28"/>
                <w:szCs w:val="28"/>
              </w:rPr>
              <w:t>收款人账号</w:t>
            </w:r>
          </w:p>
        </w:tc>
        <w:tc>
          <w:tcPr>
            <w:tcW w:w="2340" w:type="dxa"/>
            <w:noWrap w:val="0"/>
            <w:vAlign w:val="center"/>
          </w:tcPr>
          <w:p>
            <w:pPr>
              <w:spacing w:line="360" w:lineRule="auto"/>
              <w:jc w:val="center"/>
              <w:rPr>
                <w:rFonts w:ascii="仿宋" w:hAnsi="仿宋" w:eastAsia="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69" w:type="dxa"/>
            <w:noWrap w:val="0"/>
          </w:tcPr>
          <w:p>
            <w:pPr>
              <w:spacing w:line="360" w:lineRule="auto"/>
              <w:rPr>
                <w:rFonts w:ascii="仿宋" w:hAnsi="仿宋" w:eastAsia="仿宋"/>
                <w:b/>
                <w:bCs/>
                <w:sz w:val="28"/>
                <w:szCs w:val="28"/>
              </w:rPr>
            </w:pPr>
            <w:r>
              <w:rPr>
                <w:rFonts w:hint="eastAsia" w:ascii="仿宋" w:hAnsi="仿宋" w:eastAsia="仿宋"/>
                <w:b/>
                <w:bCs/>
                <w:sz w:val="28"/>
                <w:szCs w:val="28"/>
              </w:rPr>
              <w:t>付款人名称</w:t>
            </w:r>
          </w:p>
        </w:tc>
        <w:tc>
          <w:tcPr>
            <w:tcW w:w="6958" w:type="dxa"/>
            <w:gridSpan w:val="3"/>
            <w:noWrap w:val="0"/>
            <w:vAlign w:val="center"/>
          </w:tcPr>
          <w:p>
            <w:pPr>
              <w:spacing w:line="360" w:lineRule="auto"/>
              <w:jc w:val="center"/>
              <w:rPr>
                <w:rFonts w:ascii="仿宋" w:hAnsi="仿宋" w:eastAsia="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69" w:type="dxa"/>
            <w:noWrap w:val="0"/>
          </w:tcPr>
          <w:p>
            <w:pPr>
              <w:spacing w:line="360" w:lineRule="auto"/>
              <w:rPr>
                <w:rFonts w:ascii="仿宋" w:hAnsi="仿宋" w:eastAsia="仿宋"/>
                <w:b/>
                <w:bCs/>
                <w:sz w:val="28"/>
                <w:szCs w:val="28"/>
              </w:rPr>
            </w:pPr>
            <w:r>
              <w:rPr>
                <w:rFonts w:hint="eastAsia" w:ascii="仿宋" w:hAnsi="仿宋" w:eastAsia="仿宋"/>
                <w:b/>
                <w:bCs/>
                <w:sz w:val="28"/>
                <w:szCs w:val="28"/>
              </w:rPr>
              <w:t>付款人开户银行</w:t>
            </w:r>
          </w:p>
        </w:tc>
        <w:tc>
          <w:tcPr>
            <w:tcW w:w="2638" w:type="dxa"/>
            <w:noWrap w:val="0"/>
          </w:tcPr>
          <w:p>
            <w:pPr>
              <w:spacing w:line="360" w:lineRule="auto"/>
              <w:rPr>
                <w:rFonts w:ascii="仿宋" w:hAnsi="仿宋" w:eastAsia="仿宋"/>
                <w:sz w:val="28"/>
                <w:szCs w:val="28"/>
              </w:rPr>
            </w:pPr>
          </w:p>
        </w:tc>
        <w:tc>
          <w:tcPr>
            <w:tcW w:w="1980" w:type="dxa"/>
            <w:noWrap w:val="0"/>
          </w:tcPr>
          <w:p>
            <w:pPr>
              <w:spacing w:line="360" w:lineRule="auto"/>
              <w:rPr>
                <w:rFonts w:ascii="仿宋" w:hAnsi="仿宋" w:eastAsia="仿宋"/>
                <w:b/>
                <w:bCs/>
                <w:sz w:val="28"/>
                <w:szCs w:val="28"/>
              </w:rPr>
            </w:pPr>
            <w:r>
              <w:rPr>
                <w:rFonts w:hint="eastAsia" w:ascii="仿宋" w:hAnsi="仿宋" w:eastAsia="仿宋"/>
                <w:b/>
                <w:bCs/>
                <w:sz w:val="28"/>
                <w:szCs w:val="28"/>
              </w:rPr>
              <w:t>付款人账号</w:t>
            </w:r>
          </w:p>
        </w:tc>
        <w:tc>
          <w:tcPr>
            <w:tcW w:w="2340" w:type="dxa"/>
            <w:noWrap w:val="0"/>
            <w:vAlign w:val="center"/>
          </w:tcPr>
          <w:p>
            <w:pPr>
              <w:spacing w:line="360" w:lineRule="auto"/>
              <w:jc w:val="center"/>
              <w:rPr>
                <w:rFonts w:ascii="仿宋" w:hAnsi="仿宋" w:eastAsia="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269" w:type="dxa"/>
            <w:noWrap w:val="0"/>
          </w:tcPr>
          <w:p>
            <w:pPr>
              <w:spacing w:line="360" w:lineRule="auto"/>
              <w:rPr>
                <w:rFonts w:ascii="仿宋" w:hAnsi="仿宋" w:eastAsia="仿宋"/>
                <w:b/>
                <w:bCs/>
                <w:sz w:val="28"/>
                <w:szCs w:val="28"/>
              </w:rPr>
            </w:pPr>
            <w:r>
              <w:rPr>
                <w:rFonts w:hint="eastAsia" w:ascii="仿宋" w:hAnsi="仿宋" w:eastAsia="仿宋"/>
                <w:b/>
                <w:bCs/>
                <w:sz w:val="28"/>
                <w:szCs w:val="28"/>
              </w:rPr>
              <w:t>划款金额（小写）</w:t>
            </w:r>
          </w:p>
        </w:tc>
        <w:tc>
          <w:tcPr>
            <w:tcW w:w="2638" w:type="dxa"/>
            <w:noWrap w:val="0"/>
            <w:vAlign w:val="center"/>
          </w:tcPr>
          <w:p>
            <w:pPr>
              <w:spacing w:line="360" w:lineRule="auto"/>
              <w:jc w:val="center"/>
              <w:rPr>
                <w:rFonts w:ascii="仿宋" w:hAnsi="仿宋" w:eastAsia="仿宋"/>
                <w:sz w:val="28"/>
                <w:szCs w:val="28"/>
              </w:rPr>
            </w:pPr>
          </w:p>
        </w:tc>
        <w:tc>
          <w:tcPr>
            <w:tcW w:w="1980" w:type="dxa"/>
            <w:noWrap w:val="0"/>
          </w:tcPr>
          <w:p>
            <w:pPr>
              <w:spacing w:line="360" w:lineRule="auto"/>
              <w:rPr>
                <w:rFonts w:ascii="仿宋" w:hAnsi="仿宋" w:eastAsia="仿宋"/>
                <w:b/>
                <w:bCs/>
                <w:sz w:val="28"/>
                <w:szCs w:val="28"/>
              </w:rPr>
            </w:pPr>
            <w:r>
              <w:rPr>
                <w:rFonts w:hint="eastAsia" w:ascii="仿宋" w:hAnsi="仿宋" w:eastAsia="仿宋"/>
                <w:b/>
                <w:bCs/>
                <w:sz w:val="28"/>
                <w:szCs w:val="28"/>
              </w:rPr>
              <w:t>币种</w:t>
            </w:r>
          </w:p>
        </w:tc>
        <w:tc>
          <w:tcPr>
            <w:tcW w:w="2340" w:type="dxa"/>
            <w:noWrap w:val="0"/>
            <w:vAlign w:val="center"/>
          </w:tcPr>
          <w:p>
            <w:pPr>
              <w:spacing w:line="360" w:lineRule="auto"/>
              <w:rPr>
                <w:rFonts w:ascii="仿宋" w:hAnsi="仿宋" w:eastAsia="仿宋"/>
                <w:sz w:val="28"/>
                <w:szCs w:val="28"/>
              </w:rPr>
            </w:pPr>
            <w:r>
              <w:rPr>
                <w:rFonts w:hint="eastAsia" w:ascii="仿宋" w:hAnsi="仿宋" w:eastAsia="仿宋"/>
                <w:sz w:val="28"/>
                <w:szCs w:val="2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269" w:type="dxa"/>
            <w:noWrap w:val="0"/>
          </w:tcPr>
          <w:p>
            <w:pPr>
              <w:spacing w:line="360" w:lineRule="auto"/>
              <w:rPr>
                <w:rFonts w:ascii="仿宋" w:hAnsi="仿宋" w:eastAsia="仿宋"/>
                <w:b/>
                <w:bCs/>
                <w:sz w:val="28"/>
                <w:szCs w:val="28"/>
              </w:rPr>
            </w:pPr>
            <w:r>
              <w:rPr>
                <w:rFonts w:hint="eastAsia" w:ascii="仿宋" w:hAnsi="仿宋" w:eastAsia="仿宋"/>
                <w:b/>
                <w:bCs/>
                <w:sz w:val="28"/>
                <w:szCs w:val="28"/>
              </w:rPr>
              <w:t>划款金额（大写）</w:t>
            </w:r>
          </w:p>
        </w:tc>
        <w:tc>
          <w:tcPr>
            <w:tcW w:w="6958" w:type="dxa"/>
            <w:gridSpan w:val="3"/>
            <w:noWrap w:val="0"/>
            <w:vAlign w:val="center"/>
          </w:tcPr>
          <w:p>
            <w:pPr>
              <w:spacing w:line="360" w:lineRule="auto"/>
              <w:rPr>
                <w:rFonts w:ascii="仿宋" w:hAnsi="仿宋" w:eastAsia="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269" w:type="dxa"/>
            <w:noWrap w:val="0"/>
          </w:tcPr>
          <w:p>
            <w:pPr>
              <w:spacing w:line="360" w:lineRule="auto"/>
              <w:rPr>
                <w:rFonts w:ascii="仿宋" w:hAnsi="仿宋" w:eastAsia="仿宋"/>
                <w:b/>
                <w:bCs/>
                <w:sz w:val="28"/>
                <w:szCs w:val="28"/>
              </w:rPr>
            </w:pPr>
            <w:r>
              <w:rPr>
                <w:rFonts w:hint="eastAsia" w:ascii="仿宋" w:hAnsi="仿宋" w:eastAsia="仿宋"/>
                <w:b/>
                <w:bCs/>
                <w:sz w:val="28"/>
                <w:szCs w:val="28"/>
              </w:rPr>
              <w:t>划款用途：</w:t>
            </w:r>
          </w:p>
        </w:tc>
        <w:tc>
          <w:tcPr>
            <w:tcW w:w="6958" w:type="dxa"/>
            <w:gridSpan w:val="3"/>
            <w:noWrap w:val="0"/>
            <w:vAlign w:val="center"/>
          </w:tcPr>
          <w:p>
            <w:pPr>
              <w:spacing w:line="360" w:lineRule="auto"/>
              <w:rPr>
                <w:rFonts w:ascii="仿宋" w:hAnsi="仿宋" w:eastAsia="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6" w:hRule="atLeast"/>
          <w:jc w:val="center"/>
        </w:trPr>
        <w:tc>
          <w:tcPr>
            <w:tcW w:w="2269" w:type="dxa"/>
            <w:noWrap w:val="0"/>
          </w:tcPr>
          <w:p>
            <w:pPr>
              <w:spacing w:line="360" w:lineRule="auto"/>
              <w:rPr>
                <w:rFonts w:ascii="仿宋" w:hAnsi="仿宋" w:eastAsia="仿宋"/>
                <w:b/>
                <w:bCs/>
                <w:sz w:val="28"/>
                <w:szCs w:val="28"/>
              </w:rPr>
            </w:pPr>
            <w:r>
              <w:rPr>
                <w:rFonts w:hint="eastAsia" w:ascii="仿宋" w:hAnsi="仿宋" w:eastAsia="仿宋"/>
                <w:b/>
                <w:bCs/>
                <w:sz w:val="28"/>
                <w:szCs w:val="28"/>
              </w:rPr>
              <w:t>备注：</w:t>
            </w:r>
          </w:p>
        </w:tc>
        <w:tc>
          <w:tcPr>
            <w:tcW w:w="6958" w:type="dxa"/>
            <w:gridSpan w:val="3"/>
            <w:noWrap w:val="0"/>
          </w:tcPr>
          <w:p>
            <w:pPr>
              <w:spacing w:line="360" w:lineRule="auto"/>
              <w:rPr>
                <w:rFonts w:ascii="仿宋" w:hAnsi="仿宋" w:eastAsia="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31" w:hRule="atLeast"/>
          <w:jc w:val="center"/>
        </w:trPr>
        <w:tc>
          <w:tcPr>
            <w:tcW w:w="9227" w:type="dxa"/>
            <w:gridSpan w:val="4"/>
            <w:noWrap w:val="0"/>
          </w:tcPr>
          <w:p>
            <w:pPr>
              <w:spacing w:line="360" w:lineRule="auto"/>
              <w:rPr>
                <w:rFonts w:ascii="仿宋" w:hAnsi="仿宋" w:eastAsia="仿宋"/>
                <w:b/>
                <w:bCs/>
                <w:sz w:val="28"/>
                <w:szCs w:val="28"/>
              </w:rPr>
            </w:pPr>
            <w:r>
              <w:rPr>
                <w:rFonts w:hint="eastAsia" w:ascii="仿宋" w:hAnsi="仿宋" w:eastAsia="仿宋"/>
                <w:b/>
                <w:bCs/>
                <w:sz w:val="28"/>
                <w:szCs w:val="28"/>
              </w:rPr>
              <w:t>预留印鉴（如需）</w:t>
            </w:r>
          </w:p>
          <w:p>
            <w:pPr>
              <w:spacing w:line="360" w:lineRule="auto"/>
              <w:rPr>
                <w:rFonts w:ascii="仿宋" w:hAnsi="仿宋" w:eastAsia="仿宋"/>
                <w:b/>
                <w:bCs/>
                <w:sz w:val="28"/>
                <w:szCs w:val="28"/>
              </w:rPr>
            </w:pPr>
          </w:p>
          <w:p>
            <w:pPr>
              <w:spacing w:line="360" w:lineRule="auto"/>
              <w:rPr>
                <w:rFonts w:ascii="仿宋" w:hAnsi="仿宋" w:eastAsia="仿宋"/>
                <w:b/>
                <w:bCs/>
                <w:sz w:val="28"/>
                <w:szCs w:val="28"/>
              </w:rPr>
            </w:pPr>
            <w:r>
              <w:rPr>
                <w:rFonts w:hint="eastAsia" w:ascii="仿宋" w:hAnsi="仿宋" w:eastAsia="仿宋"/>
                <w:b/>
                <w:bCs/>
                <w:sz w:val="28"/>
                <w:szCs w:val="28"/>
              </w:rPr>
              <w:t>经办：</w:t>
            </w:r>
            <w:r>
              <w:rPr>
                <w:rFonts w:ascii="仿宋" w:hAnsi="仿宋" w:eastAsia="仿宋"/>
                <w:b/>
                <w:bCs/>
                <w:sz w:val="28"/>
                <w:szCs w:val="28"/>
              </w:rPr>
              <w:t xml:space="preserve">               </w:t>
            </w:r>
            <w:r>
              <w:rPr>
                <w:rFonts w:hint="eastAsia" w:ascii="仿宋" w:hAnsi="仿宋" w:eastAsia="仿宋"/>
                <w:b/>
                <w:bCs/>
                <w:sz w:val="28"/>
                <w:szCs w:val="28"/>
              </w:rPr>
              <w:t>复核：</w:t>
            </w:r>
            <w:r>
              <w:rPr>
                <w:rFonts w:ascii="仿宋" w:hAnsi="仿宋" w:eastAsia="仿宋"/>
                <w:b/>
                <w:bCs/>
                <w:sz w:val="28"/>
                <w:szCs w:val="28"/>
              </w:rPr>
              <w:t xml:space="preserve">                 </w:t>
            </w:r>
          </w:p>
          <w:p>
            <w:pPr>
              <w:spacing w:line="360" w:lineRule="auto"/>
              <w:rPr>
                <w:rFonts w:ascii="仿宋" w:hAnsi="仿宋" w:eastAsia="仿宋"/>
                <w:b/>
                <w:bCs/>
                <w:sz w:val="28"/>
                <w:szCs w:val="28"/>
              </w:rPr>
            </w:pPr>
          </w:p>
          <w:p>
            <w:pPr>
              <w:spacing w:line="360" w:lineRule="auto"/>
              <w:rPr>
                <w:rFonts w:ascii="仿宋" w:hAnsi="仿宋" w:eastAsia="仿宋"/>
                <w:b/>
                <w:bCs/>
                <w:sz w:val="28"/>
                <w:szCs w:val="28"/>
              </w:rPr>
            </w:pPr>
          </w:p>
        </w:tc>
      </w:tr>
    </w:tbl>
    <w:p>
      <w:pPr>
        <w:tabs>
          <w:tab w:val="left" w:pos="5470"/>
        </w:tabs>
        <w:rPr>
          <w:rFonts w:ascii="仿宋_GB2312" w:hAnsi="仿宋" w:eastAsia="仿宋_GB2312"/>
          <w:sz w:val="28"/>
          <w:szCs w:val="28"/>
        </w:rPr>
        <w:sectPr>
          <w:footerReference r:id="rId5" w:type="default"/>
          <w:footerReference r:id="rId6" w:type="even"/>
          <w:pgSz w:w="11906" w:h="16838"/>
          <w:pgMar w:top="1440" w:right="1800" w:bottom="1440" w:left="1800" w:header="851" w:footer="992" w:gutter="0"/>
          <w:cols w:space="720" w:num="1"/>
          <w:docGrid w:linePitch="360" w:charSpace="0"/>
        </w:sectPr>
      </w:pPr>
    </w:p>
    <w:p>
      <w:pPr>
        <w:spacing w:line="360" w:lineRule="auto"/>
        <w:ind w:right="23"/>
        <w:jc w:val="left"/>
        <w:rPr>
          <w:rFonts w:ascii="仿宋" w:hAnsi="仿宋" w:eastAsia="仿宋" w:cs="MingLiU"/>
          <w:sz w:val="28"/>
          <w:szCs w:val="28"/>
        </w:rPr>
      </w:pPr>
      <w:r>
        <w:rPr>
          <w:rFonts w:hint="eastAsia" w:ascii="仿宋" w:hAnsi="仿宋" w:eastAsia="仿宋" w:cs="MingLiU"/>
          <w:sz w:val="28"/>
          <w:szCs w:val="28"/>
        </w:rPr>
        <w:t>附件二</w:t>
      </w:r>
    </w:p>
    <w:p>
      <w:pPr>
        <w:spacing w:line="360" w:lineRule="auto"/>
        <w:ind w:right="23"/>
        <w:jc w:val="center"/>
        <w:rPr>
          <w:rFonts w:ascii="仿宋" w:hAnsi="仿宋" w:eastAsia="仿宋" w:cs="MingLiU"/>
          <w:b/>
          <w:sz w:val="28"/>
          <w:szCs w:val="28"/>
        </w:rPr>
      </w:pPr>
      <w:r>
        <w:rPr>
          <w:rFonts w:hint="eastAsia" w:ascii="仿宋" w:hAnsi="仿宋" w:eastAsia="仿宋" w:cs="MingLiU"/>
          <w:b/>
          <w:sz w:val="28"/>
          <w:szCs w:val="28"/>
        </w:rPr>
        <w:t>划款指令授权通知书</w:t>
      </w:r>
    </w:p>
    <w:p>
      <w:pPr>
        <w:spacing w:line="360" w:lineRule="auto"/>
        <w:ind w:right="23"/>
        <w:jc w:val="center"/>
        <w:rPr>
          <w:rFonts w:ascii="仿宋" w:hAnsi="仿宋" w:eastAsia="仿宋" w:cs="MingLiU"/>
          <w:sz w:val="28"/>
          <w:szCs w:val="28"/>
        </w:rPr>
      </w:pPr>
    </w:p>
    <w:p>
      <w:pPr>
        <w:rPr>
          <w:rFonts w:ascii="仿宋" w:hAnsi="仿宋" w:eastAsia="仿宋"/>
          <w:sz w:val="30"/>
          <w:szCs w:val="30"/>
        </w:rPr>
      </w:pPr>
      <w:r>
        <w:rPr>
          <w:rFonts w:hint="eastAsia" w:ascii="仿宋_GB2312" w:hAnsi="仿宋" w:eastAsia="仿宋_GB2312"/>
          <w:sz w:val="28"/>
          <w:szCs w:val="28"/>
        </w:rPr>
        <w:t>【托管人】</w:t>
      </w:r>
      <w:r>
        <w:rPr>
          <w:rFonts w:hint="eastAsia" w:ascii="仿宋" w:hAnsi="仿宋" w:eastAsia="仿宋"/>
          <w:sz w:val="30"/>
          <w:szCs w:val="30"/>
        </w:rPr>
        <w:t>：</w:t>
      </w:r>
    </w:p>
    <w:p>
      <w:pPr>
        <w:rPr>
          <w:rFonts w:ascii="仿宋" w:hAnsi="仿宋" w:eastAsia="仿宋"/>
          <w:sz w:val="30"/>
          <w:szCs w:val="30"/>
        </w:rPr>
      </w:pPr>
    </w:p>
    <w:p>
      <w:pPr>
        <w:ind w:firstLine="567"/>
        <w:rPr>
          <w:rFonts w:ascii="仿宋" w:hAnsi="仿宋" w:eastAsia="仿宋"/>
          <w:sz w:val="30"/>
          <w:szCs w:val="30"/>
        </w:rPr>
      </w:pPr>
      <w:r>
        <w:rPr>
          <w:rFonts w:hint="eastAsia" w:ascii="仿宋" w:hAnsi="仿宋" w:eastAsia="仿宋"/>
          <w:sz w:val="30"/>
          <w:szCs w:val="30"/>
        </w:rPr>
        <w:t>我司</w:t>
      </w:r>
      <w:r>
        <w:rPr>
          <w:rFonts w:ascii="仿宋" w:hAnsi="仿宋" w:eastAsia="仿宋"/>
          <w:sz w:val="30"/>
          <w:szCs w:val="30"/>
        </w:rPr>
        <w:t>向贵</w:t>
      </w:r>
      <w:r>
        <w:rPr>
          <w:rFonts w:hint="eastAsia" w:ascii="仿宋" w:hAnsi="仿宋" w:eastAsia="仿宋"/>
          <w:sz w:val="30"/>
          <w:szCs w:val="30"/>
        </w:rPr>
        <w:t>行</w:t>
      </w:r>
      <w:r>
        <w:rPr>
          <w:rFonts w:ascii="仿宋" w:hAnsi="仿宋" w:eastAsia="仿宋"/>
          <w:sz w:val="30"/>
          <w:szCs w:val="30"/>
        </w:rPr>
        <w:t>发送管理运营</w:t>
      </w:r>
      <w:r>
        <w:rPr>
          <w:rFonts w:hint="eastAsia" w:ascii="仿宋" w:hAnsi="仿宋" w:eastAsia="仿宋"/>
          <w:sz w:val="30"/>
          <w:szCs w:val="30"/>
        </w:rPr>
        <w:t>理财</w:t>
      </w:r>
      <w:r>
        <w:rPr>
          <w:rFonts w:ascii="仿宋" w:hAnsi="仿宋" w:eastAsia="仿宋"/>
          <w:sz w:val="30"/>
          <w:szCs w:val="30"/>
        </w:rPr>
        <w:t>产品财产划款指令的被授权人及其</w:t>
      </w:r>
      <w:r>
        <w:rPr>
          <w:rFonts w:hint="eastAsia" w:ascii="仿宋" w:hAnsi="仿宋" w:eastAsia="仿宋"/>
          <w:sz w:val="30"/>
          <w:szCs w:val="30"/>
        </w:rPr>
        <w:t>权限</w:t>
      </w:r>
      <w:r>
        <w:rPr>
          <w:rFonts w:ascii="仿宋" w:hAnsi="仿宋" w:eastAsia="仿宋"/>
          <w:sz w:val="30"/>
          <w:szCs w:val="30"/>
        </w:rPr>
        <w:t>为</w:t>
      </w:r>
      <w:r>
        <w:rPr>
          <w:rFonts w:hint="eastAsia" w:ascii="仿宋" w:hAnsi="仿宋" w:eastAsia="仿宋"/>
          <w:sz w:val="30"/>
          <w:szCs w:val="30"/>
        </w:rPr>
        <w:t>：</w:t>
      </w:r>
    </w:p>
    <w:p>
      <w:pPr>
        <w:pStyle w:val="206"/>
        <w:numPr>
          <w:ilvl w:val="0"/>
          <w:numId w:val="1"/>
        </w:numPr>
        <w:rPr>
          <w:rFonts w:ascii="仿宋" w:hAnsi="仿宋" w:eastAsia="仿宋"/>
          <w:b/>
          <w:sz w:val="30"/>
          <w:szCs w:val="30"/>
        </w:rPr>
      </w:pPr>
      <w:r>
        <w:rPr>
          <w:rFonts w:hint="eastAsia" w:ascii="仿宋" w:hAnsi="仿宋" w:eastAsia="仿宋"/>
          <w:b/>
          <w:sz w:val="30"/>
          <w:szCs w:val="30"/>
        </w:rPr>
        <w:t>被授权人</w:t>
      </w:r>
      <w:r>
        <w:rPr>
          <w:rFonts w:ascii="仿宋" w:hAnsi="仿宋" w:eastAsia="仿宋"/>
          <w:b/>
          <w:sz w:val="30"/>
          <w:szCs w:val="30"/>
        </w:rPr>
        <w:t>及权限</w:t>
      </w:r>
      <w:r>
        <w:rPr>
          <w:rFonts w:hint="eastAsia" w:ascii="仿宋" w:hAnsi="仿宋" w:eastAsia="仿宋"/>
          <w:b/>
          <w:sz w:val="30"/>
          <w:szCs w:val="30"/>
        </w:rPr>
        <w:t>：</w:t>
      </w:r>
    </w:p>
    <w:p>
      <w:pPr>
        <w:ind w:firstLine="529"/>
        <w:rPr>
          <w:rFonts w:ascii="仿宋" w:hAnsi="仿宋" w:eastAsia="仿宋"/>
          <w:sz w:val="28"/>
          <w:szCs w:val="28"/>
        </w:rPr>
      </w:pPr>
    </w:p>
    <w:p>
      <w:pPr>
        <w:ind w:firstLine="529"/>
        <w:rPr>
          <w:rFonts w:ascii="仿宋" w:hAnsi="仿宋" w:eastAsia="仿宋"/>
          <w:sz w:val="28"/>
          <w:szCs w:val="28"/>
        </w:rPr>
      </w:pPr>
      <w:r>
        <w:rPr>
          <w:rFonts w:hint="eastAsia" w:ascii="仿宋" w:hAnsi="仿宋" w:eastAsia="仿宋"/>
          <w:sz w:val="28"/>
          <w:szCs w:val="28"/>
        </w:rPr>
        <w:t>【】</w:t>
      </w:r>
    </w:p>
    <w:p>
      <w:pPr>
        <w:ind w:firstLine="529"/>
        <w:rPr>
          <w:rFonts w:ascii="仿宋" w:hAnsi="仿宋" w:eastAsia="仿宋"/>
          <w:sz w:val="28"/>
          <w:szCs w:val="28"/>
        </w:rPr>
      </w:pPr>
      <w:r>
        <w:rPr>
          <w:rFonts w:hint="eastAsia" w:ascii="仿宋" w:hAnsi="仿宋" w:eastAsia="仿宋"/>
          <w:sz w:val="28"/>
          <w:szCs w:val="28"/>
        </w:rPr>
        <w:t>划款</w:t>
      </w:r>
      <w:r>
        <w:rPr>
          <w:rFonts w:ascii="仿宋" w:hAnsi="仿宋" w:eastAsia="仿宋"/>
          <w:sz w:val="28"/>
          <w:szCs w:val="28"/>
        </w:rPr>
        <w:t>指令需经办、复核双人签字，</w:t>
      </w:r>
      <w:r>
        <w:rPr>
          <w:rFonts w:hint="eastAsia" w:ascii="仿宋" w:hAnsi="仿宋" w:eastAsia="仿宋"/>
          <w:sz w:val="28"/>
          <w:szCs w:val="28"/>
        </w:rPr>
        <w:t>且</w:t>
      </w:r>
      <w:r>
        <w:rPr>
          <w:rFonts w:ascii="仿宋" w:hAnsi="仿宋" w:eastAsia="仿宋"/>
          <w:sz w:val="28"/>
          <w:szCs w:val="28"/>
        </w:rPr>
        <w:t>经办</w:t>
      </w:r>
      <w:r>
        <w:rPr>
          <w:rFonts w:hint="eastAsia" w:ascii="仿宋" w:hAnsi="仿宋" w:eastAsia="仿宋"/>
          <w:sz w:val="28"/>
          <w:szCs w:val="28"/>
        </w:rPr>
        <w:t>、</w:t>
      </w:r>
      <w:r>
        <w:rPr>
          <w:rFonts w:ascii="仿宋" w:hAnsi="仿宋" w:eastAsia="仿宋"/>
          <w:sz w:val="28"/>
          <w:szCs w:val="28"/>
        </w:rPr>
        <w:t>复核</w:t>
      </w:r>
      <w:r>
        <w:rPr>
          <w:rFonts w:hint="eastAsia" w:ascii="仿宋" w:hAnsi="仿宋" w:eastAsia="仿宋"/>
          <w:sz w:val="28"/>
          <w:szCs w:val="28"/>
        </w:rPr>
        <w:t>不为</w:t>
      </w:r>
      <w:r>
        <w:rPr>
          <w:rFonts w:ascii="仿宋" w:hAnsi="仿宋" w:eastAsia="仿宋"/>
          <w:sz w:val="28"/>
          <w:szCs w:val="28"/>
        </w:rPr>
        <w:t>同一人即可生效</w:t>
      </w:r>
      <w:r>
        <w:rPr>
          <w:rFonts w:hint="eastAsia" w:ascii="仿宋" w:hAnsi="仿宋" w:eastAsia="仿宋"/>
          <w:sz w:val="28"/>
          <w:szCs w:val="28"/>
        </w:rPr>
        <w:t>。</w:t>
      </w:r>
      <w:r>
        <w:rPr>
          <w:rFonts w:ascii="仿宋" w:hAnsi="仿宋" w:eastAsia="仿宋"/>
          <w:sz w:val="28"/>
          <w:szCs w:val="28"/>
        </w:rPr>
        <w:t>同时</w:t>
      </w:r>
      <w:r>
        <w:rPr>
          <w:rFonts w:hint="eastAsia" w:ascii="仿宋" w:hAnsi="仿宋" w:eastAsia="仿宋"/>
          <w:sz w:val="28"/>
          <w:szCs w:val="28"/>
        </w:rPr>
        <w:t>，上述被授权人电子</w:t>
      </w:r>
      <w:r>
        <w:rPr>
          <w:rFonts w:ascii="仿宋" w:hAnsi="仿宋" w:eastAsia="仿宋"/>
          <w:sz w:val="28"/>
          <w:szCs w:val="28"/>
        </w:rPr>
        <w:t>邮箱</w:t>
      </w:r>
      <w:r>
        <w:rPr>
          <w:rFonts w:hint="eastAsia" w:ascii="仿宋" w:hAnsi="仿宋" w:eastAsia="仿宋"/>
          <w:sz w:val="28"/>
          <w:szCs w:val="28"/>
        </w:rPr>
        <w:t>作为有效邮箱，可向贵行</w:t>
      </w:r>
      <w:r>
        <w:rPr>
          <w:rFonts w:ascii="仿宋" w:hAnsi="仿宋" w:eastAsia="仿宋"/>
          <w:sz w:val="28"/>
          <w:szCs w:val="28"/>
        </w:rPr>
        <w:t>发送</w:t>
      </w:r>
      <w:r>
        <w:rPr>
          <w:rFonts w:hint="eastAsia" w:ascii="仿宋" w:hAnsi="仿宋" w:eastAsia="仿宋"/>
          <w:sz w:val="28"/>
          <w:szCs w:val="28"/>
        </w:rPr>
        <w:t>交易相关附件、退款说明、银行间行权业务通知、银行间债券置换业务通知等双方均同意可以使用邮箱发送的业务凭证。</w:t>
      </w:r>
    </w:p>
    <w:p>
      <w:pPr>
        <w:pStyle w:val="206"/>
        <w:numPr>
          <w:ilvl w:val="0"/>
          <w:numId w:val="1"/>
        </w:numPr>
        <w:rPr>
          <w:rFonts w:ascii="仿宋" w:hAnsi="仿宋" w:eastAsia="仿宋"/>
          <w:b/>
          <w:sz w:val="30"/>
          <w:szCs w:val="30"/>
        </w:rPr>
      </w:pPr>
      <w:r>
        <w:rPr>
          <w:rFonts w:hint="eastAsia" w:ascii="仿宋" w:hAnsi="仿宋" w:eastAsia="仿宋"/>
          <w:b/>
          <w:sz w:val="30"/>
          <w:szCs w:val="30"/>
        </w:rPr>
        <w:t>被授权人签字</w:t>
      </w:r>
      <w:r>
        <w:rPr>
          <w:rFonts w:ascii="仿宋" w:hAnsi="仿宋" w:eastAsia="仿宋"/>
          <w:b/>
          <w:sz w:val="30"/>
          <w:szCs w:val="30"/>
        </w:rPr>
        <w:t>样式</w:t>
      </w:r>
    </w:p>
    <w:p>
      <w:pPr>
        <w:rPr>
          <w:rFonts w:ascii="仿宋" w:hAnsi="仿宋" w:eastAsia="仿宋"/>
          <w:sz w:val="30"/>
          <w:szCs w:val="30"/>
        </w:rPr>
      </w:pPr>
    </w:p>
    <w:p>
      <w:pPr>
        <w:rPr>
          <w:rFonts w:ascii="仿宋" w:hAnsi="仿宋" w:eastAsia="仿宋"/>
          <w:sz w:val="30"/>
          <w:szCs w:val="30"/>
        </w:rPr>
      </w:pPr>
    </w:p>
    <w:p>
      <w:pPr>
        <w:rPr>
          <w:rFonts w:ascii="仿宋" w:hAnsi="仿宋" w:eastAsia="仿宋"/>
          <w:sz w:val="30"/>
          <w:szCs w:val="30"/>
        </w:rPr>
      </w:pPr>
    </w:p>
    <w:p>
      <w:pPr>
        <w:rPr>
          <w:rFonts w:ascii="仿宋" w:hAnsi="仿宋" w:eastAsia="仿宋"/>
          <w:sz w:val="30"/>
          <w:szCs w:val="30"/>
        </w:rPr>
      </w:pPr>
    </w:p>
    <w:p>
      <w:pPr>
        <w:ind w:firstLine="567"/>
        <w:rPr>
          <w:rFonts w:ascii="仿宋" w:hAnsi="仿宋" w:eastAsia="仿宋"/>
          <w:sz w:val="30"/>
          <w:szCs w:val="30"/>
        </w:rPr>
      </w:pPr>
      <w:r>
        <w:rPr>
          <w:rFonts w:hint="eastAsia" w:ascii="仿宋" w:hAnsi="仿宋" w:eastAsia="仿宋"/>
          <w:sz w:val="30"/>
          <w:szCs w:val="30"/>
        </w:rPr>
        <w:t>上述</w:t>
      </w:r>
      <w:r>
        <w:rPr>
          <w:rFonts w:ascii="仿宋" w:hAnsi="仿宋" w:eastAsia="仿宋"/>
          <w:sz w:val="30"/>
          <w:szCs w:val="30"/>
        </w:rPr>
        <w:t xml:space="preserve">授权及签字样式自    </w:t>
      </w:r>
      <w:r>
        <w:rPr>
          <w:rFonts w:hint="eastAsia" w:ascii="仿宋" w:hAnsi="仿宋" w:eastAsia="仿宋"/>
          <w:sz w:val="30"/>
          <w:szCs w:val="30"/>
        </w:rPr>
        <w:t>年月日起</w:t>
      </w:r>
      <w:r>
        <w:rPr>
          <w:rFonts w:ascii="仿宋" w:hAnsi="仿宋" w:eastAsia="仿宋"/>
          <w:sz w:val="30"/>
          <w:szCs w:val="30"/>
        </w:rPr>
        <w:t>生效</w:t>
      </w:r>
      <w:r>
        <w:rPr>
          <w:rFonts w:hint="eastAsia" w:ascii="仿宋" w:hAnsi="仿宋" w:eastAsia="仿宋"/>
          <w:sz w:val="30"/>
          <w:szCs w:val="30"/>
        </w:rPr>
        <w:t>。</w:t>
      </w:r>
    </w:p>
    <w:p>
      <w:pPr>
        <w:ind w:firstLine="567"/>
        <w:rPr>
          <w:rFonts w:ascii="仿宋" w:hAnsi="仿宋" w:eastAsia="仿宋"/>
          <w:sz w:val="30"/>
          <w:szCs w:val="30"/>
        </w:rPr>
      </w:pPr>
      <w:r>
        <w:rPr>
          <w:rFonts w:hint="eastAsia" w:ascii="仿宋" w:hAnsi="仿宋" w:eastAsia="仿宋"/>
          <w:sz w:val="30"/>
          <w:szCs w:val="30"/>
        </w:rPr>
        <w:t>□</w:t>
      </w:r>
      <w:r>
        <w:rPr>
          <w:rFonts w:ascii="仿宋" w:hAnsi="仿宋" w:eastAsia="仿宋"/>
          <w:sz w:val="30"/>
          <w:szCs w:val="30"/>
        </w:rPr>
        <w:t>原授权及签字样式作废。</w:t>
      </w:r>
    </w:p>
    <w:p>
      <w:pPr>
        <w:spacing w:line="360" w:lineRule="auto"/>
        <w:rPr>
          <w:rFonts w:ascii="仿宋" w:hAnsi="仿宋" w:eastAsia="仿宋" w:cs="MingLiU"/>
          <w:sz w:val="28"/>
          <w:szCs w:val="28"/>
        </w:rPr>
      </w:pPr>
    </w:p>
    <w:p>
      <w:pPr>
        <w:spacing w:line="360" w:lineRule="auto"/>
        <w:ind w:right="23" w:firstLine="4620"/>
        <w:jc w:val="left"/>
        <w:rPr>
          <w:rFonts w:ascii="仿宋" w:hAnsi="仿宋" w:eastAsia="仿宋" w:cs="MingLiU"/>
          <w:sz w:val="28"/>
          <w:szCs w:val="28"/>
        </w:rPr>
      </w:pPr>
      <w:r>
        <w:rPr>
          <w:rFonts w:hint="eastAsia" w:ascii="仿宋" w:hAnsi="仿宋" w:eastAsia="仿宋" w:cs="MingLiU"/>
          <w:sz w:val="28"/>
          <w:szCs w:val="28"/>
        </w:rPr>
        <w:t>　</w:t>
      </w:r>
    </w:p>
    <w:p>
      <w:pPr>
        <w:spacing w:line="360" w:lineRule="auto"/>
        <w:ind w:right="23" w:firstLine="4760"/>
        <w:jc w:val="left"/>
        <w:rPr>
          <w:rFonts w:ascii="仿宋" w:hAnsi="仿宋" w:eastAsia="仿宋" w:cs="MingLiU"/>
          <w:sz w:val="28"/>
          <w:szCs w:val="28"/>
        </w:rPr>
      </w:pPr>
      <w:r>
        <w:rPr>
          <w:rFonts w:ascii="仿宋" w:hAnsi="仿宋" w:eastAsia="仿宋" w:cs="MingLiU"/>
          <w:sz w:val="28"/>
          <w:szCs w:val="28"/>
        </w:rPr>
        <w:t xml:space="preserve"> </w:t>
      </w:r>
      <w:r>
        <w:rPr>
          <w:rFonts w:hint="eastAsia" w:ascii="仿宋" w:hAnsi="仿宋" w:eastAsia="仿宋" w:cs="MingLiU"/>
          <w:sz w:val="28"/>
          <w:szCs w:val="28"/>
        </w:rPr>
        <w:t>（公　章）或</w:t>
      </w:r>
    </w:p>
    <w:p>
      <w:pPr>
        <w:spacing w:line="360" w:lineRule="auto"/>
        <w:ind w:right="23" w:firstLine="4760"/>
        <w:jc w:val="left"/>
        <w:rPr>
          <w:rFonts w:ascii="仿宋" w:hAnsi="仿宋" w:eastAsia="仿宋" w:cs="MingLiU"/>
          <w:sz w:val="28"/>
          <w:szCs w:val="28"/>
        </w:rPr>
      </w:pPr>
      <w:r>
        <w:rPr>
          <w:rFonts w:hint="eastAsia" w:ascii="仿宋" w:hAnsi="仿宋" w:eastAsia="仿宋" w:cs="MingLiU"/>
          <w:sz w:val="28"/>
          <w:szCs w:val="28"/>
        </w:rPr>
        <w:t>（有效</w:t>
      </w:r>
      <w:r>
        <w:rPr>
          <w:rFonts w:ascii="仿宋" w:hAnsi="仿宋" w:eastAsia="仿宋"/>
          <w:sz w:val="28"/>
          <w:szCs w:val="28"/>
        </w:rPr>
        <w:t>业务章</w:t>
      </w:r>
      <w:r>
        <w:rPr>
          <w:rFonts w:hint="eastAsia" w:ascii="仿宋" w:hAnsi="仿宋" w:eastAsia="仿宋"/>
          <w:sz w:val="28"/>
          <w:szCs w:val="28"/>
        </w:rPr>
        <w:t>）</w:t>
      </w:r>
    </w:p>
    <w:p>
      <w:pPr>
        <w:spacing w:line="360" w:lineRule="auto"/>
        <w:ind w:right="23" w:firstLine="4760"/>
        <w:jc w:val="left"/>
        <w:rPr>
          <w:rFonts w:ascii="仿宋" w:hAnsi="仿宋" w:eastAsia="仿宋" w:cs="MingLiU"/>
          <w:sz w:val="28"/>
          <w:szCs w:val="28"/>
        </w:rPr>
      </w:pPr>
    </w:p>
    <w:p>
      <w:pPr>
        <w:spacing w:line="360" w:lineRule="auto"/>
        <w:ind w:left="6581" w:right="23" w:hanging="1820"/>
        <w:jc w:val="left"/>
        <w:rPr>
          <w:rFonts w:ascii="仿宋" w:hAnsi="仿宋" w:eastAsia="仿宋" w:cs="MingLiU"/>
          <w:sz w:val="28"/>
          <w:szCs w:val="28"/>
        </w:rPr>
      </w:pPr>
      <w:r>
        <w:rPr>
          <w:rFonts w:ascii="仿宋" w:hAnsi="仿宋" w:eastAsia="仿宋" w:cs="MingLiU"/>
          <w:sz w:val="28"/>
          <w:szCs w:val="28"/>
        </w:rPr>
        <w:t xml:space="preserve"> </w:t>
      </w:r>
      <w:r>
        <w:rPr>
          <w:rFonts w:hint="eastAsia" w:ascii="仿宋" w:hAnsi="仿宋" w:eastAsia="仿宋" w:cs="MingLiU"/>
          <w:sz w:val="28"/>
          <w:szCs w:val="28"/>
        </w:rPr>
        <w:t>法定代表人（授权代表）：</w:t>
      </w:r>
    </w:p>
    <w:p>
      <w:pPr>
        <w:jc w:val="right"/>
        <w:rPr>
          <w:rFonts w:ascii="仿宋_GB2312" w:hAnsi="仿宋" w:eastAsia="仿宋_GB2312"/>
          <w:sz w:val="28"/>
          <w:szCs w:val="28"/>
        </w:rPr>
      </w:pPr>
      <w:r>
        <w:rPr>
          <w:rFonts w:ascii="仿宋" w:hAnsi="仿宋" w:eastAsia="仿宋" w:cs="MingLiU"/>
          <w:sz w:val="28"/>
          <w:szCs w:val="28"/>
        </w:rPr>
        <w:tab/>
      </w:r>
      <w:r>
        <w:rPr>
          <w:rFonts w:ascii="仿宋" w:hAnsi="仿宋" w:eastAsia="仿宋" w:cs="MingLiU"/>
          <w:sz w:val="28"/>
          <w:szCs w:val="28"/>
        </w:rPr>
        <w:tab/>
      </w:r>
      <w:r>
        <w:rPr>
          <w:rFonts w:ascii="仿宋" w:hAnsi="仿宋" w:eastAsia="仿宋" w:cs="MingLiU"/>
          <w:sz w:val="28"/>
          <w:szCs w:val="28"/>
        </w:rPr>
        <w:tab/>
      </w:r>
      <w:r>
        <w:rPr>
          <w:rFonts w:ascii="仿宋" w:hAnsi="仿宋" w:eastAsia="仿宋" w:cs="MingLiU"/>
          <w:sz w:val="28"/>
          <w:szCs w:val="28"/>
        </w:rPr>
        <w:tab/>
      </w:r>
      <w:r>
        <w:rPr>
          <w:rFonts w:ascii="仿宋" w:hAnsi="仿宋" w:eastAsia="仿宋" w:cs="MingLiU"/>
          <w:sz w:val="28"/>
          <w:szCs w:val="28"/>
        </w:rPr>
        <w:tab/>
      </w:r>
      <w:r>
        <w:rPr>
          <w:rFonts w:ascii="仿宋" w:hAnsi="仿宋" w:eastAsia="仿宋" w:cs="MingLiU"/>
          <w:sz w:val="28"/>
          <w:szCs w:val="28"/>
        </w:rPr>
        <w:tab/>
      </w:r>
      <w:r>
        <w:rPr>
          <w:rFonts w:ascii="仿宋" w:hAnsi="仿宋" w:eastAsia="仿宋" w:cs="MingLiU"/>
          <w:sz w:val="28"/>
          <w:szCs w:val="28"/>
        </w:rPr>
        <w:tab/>
      </w:r>
      <w:r>
        <w:rPr>
          <w:rFonts w:hint="eastAsia" w:ascii="仿宋" w:hAnsi="仿宋" w:eastAsia="仿宋" w:cs="MingLiU"/>
          <w:sz w:val="28"/>
          <w:szCs w:val="28"/>
        </w:rPr>
        <w:t>　　　年</w:t>
      </w:r>
      <w:r>
        <w:rPr>
          <w:rFonts w:ascii="仿宋" w:hAnsi="仿宋" w:eastAsia="仿宋" w:cs="MingLiU"/>
          <w:sz w:val="28"/>
          <w:szCs w:val="28"/>
        </w:rPr>
        <w:t xml:space="preserve">  </w:t>
      </w:r>
      <w:r>
        <w:rPr>
          <w:rFonts w:hint="eastAsia" w:ascii="仿宋" w:hAnsi="仿宋" w:eastAsia="仿宋" w:cs="MingLiU"/>
          <w:sz w:val="28"/>
          <w:szCs w:val="28"/>
        </w:rPr>
        <w:t>月</w:t>
      </w:r>
      <w:r>
        <w:rPr>
          <w:rFonts w:ascii="仿宋" w:hAnsi="仿宋" w:eastAsia="仿宋" w:cs="MingLiU"/>
          <w:sz w:val="28"/>
          <w:szCs w:val="28"/>
        </w:rPr>
        <w:t xml:space="preserve">  </w:t>
      </w:r>
      <w:r>
        <w:rPr>
          <w:rFonts w:hint="eastAsia" w:ascii="仿宋" w:hAnsi="仿宋" w:eastAsia="仿宋" w:cs="MingLiU"/>
          <w:sz w:val="28"/>
          <w:szCs w:val="28"/>
        </w:rPr>
        <w:t>日</w:t>
      </w:r>
    </w:p>
    <w:p>
      <w:pPr>
        <w:spacing w:line="520" w:lineRule="exact"/>
        <w:ind w:right="23"/>
        <w:rPr>
          <w:rFonts w:ascii="仿宋_GB2312" w:hAnsi="仿宋" w:eastAsia="仿宋_GB2312"/>
          <w:sz w:val="28"/>
          <w:szCs w:val="28"/>
        </w:rPr>
      </w:pPr>
    </w:p>
    <w:p>
      <w:pPr>
        <w:spacing w:line="520" w:lineRule="exact"/>
        <w:ind w:right="23"/>
        <w:rPr>
          <w:rFonts w:ascii="仿宋_GB2312" w:hAnsi="仿宋" w:eastAsia="仿宋_GB2312"/>
          <w:sz w:val="28"/>
          <w:szCs w:val="28"/>
        </w:rPr>
      </w:pPr>
    </w:p>
    <w:p>
      <w:pPr>
        <w:spacing w:line="520" w:lineRule="exact"/>
        <w:ind w:right="23"/>
        <w:rPr>
          <w:rFonts w:ascii="仿宋_GB2312" w:hAnsi="仿宋" w:eastAsia="仿宋_GB2312"/>
          <w:sz w:val="28"/>
          <w:szCs w:val="28"/>
        </w:rPr>
      </w:pPr>
    </w:p>
    <w:p>
      <w:pPr>
        <w:spacing w:line="520" w:lineRule="exact"/>
        <w:ind w:right="23"/>
        <w:rPr>
          <w:rFonts w:ascii="仿宋_GB2312" w:hAnsi="仿宋" w:eastAsia="仿宋_GB2312"/>
          <w:sz w:val="28"/>
          <w:szCs w:val="28"/>
        </w:rPr>
      </w:pPr>
    </w:p>
    <w:p>
      <w:pPr>
        <w:spacing w:line="520" w:lineRule="exact"/>
        <w:ind w:right="23"/>
        <w:rPr>
          <w:rFonts w:ascii="仿宋_GB2312" w:hAnsi="仿宋" w:eastAsia="仿宋_GB2312"/>
          <w:sz w:val="28"/>
          <w:szCs w:val="28"/>
        </w:rPr>
      </w:pPr>
    </w:p>
    <w:p>
      <w:pPr>
        <w:spacing w:line="520" w:lineRule="exact"/>
        <w:ind w:right="23"/>
        <w:rPr>
          <w:rFonts w:ascii="仿宋_GB2312" w:hAnsi="仿宋" w:eastAsia="仿宋_GB2312"/>
          <w:sz w:val="28"/>
          <w:szCs w:val="28"/>
        </w:rPr>
      </w:pPr>
      <w:r>
        <w:rPr>
          <w:rFonts w:ascii="仿宋_GB2312" w:hAnsi="仿宋" w:eastAsia="仿宋_GB2312"/>
          <w:sz w:val="28"/>
          <w:szCs w:val="28"/>
        </w:rPr>
        <w:t>附件</w:t>
      </w:r>
      <w:r>
        <w:rPr>
          <w:rFonts w:hint="eastAsia" w:ascii="仿宋_GB2312" w:hAnsi="仿宋" w:eastAsia="仿宋_GB2312"/>
          <w:sz w:val="28"/>
          <w:szCs w:val="28"/>
        </w:rPr>
        <w:t>三</w:t>
      </w:r>
    </w:p>
    <w:p>
      <w:pPr>
        <w:spacing w:line="520" w:lineRule="exact"/>
        <w:ind w:right="23"/>
        <w:rPr>
          <w:rFonts w:ascii="仿宋_GB2312" w:hAnsi="仿宋" w:eastAsia="仿宋_GB2312"/>
          <w:sz w:val="28"/>
          <w:szCs w:val="28"/>
        </w:rPr>
      </w:pPr>
    </w:p>
    <w:p>
      <w:pPr>
        <w:spacing w:line="360" w:lineRule="auto"/>
        <w:ind w:right="23"/>
        <w:jc w:val="center"/>
        <w:rPr>
          <w:rFonts w:ascii="仿宋_GB2312" w:hAnsi="仿宋" w:eastAsia="仿宋_GB2312"/>
          <w:sz w:val="28"/>
          <w:szCs w:val="28"/>
        </w:rPr>
      </w:pPr>
      <w:r>
        <w:rPr>
          <w:rFonts w:ascii="仿宋_GB2312" w:hAnsi="仿宋" w:eastAsia="仿宋_GB2312"/>
          <w:sz w:val="28"/>
          <w:szCs w:val="28"/>
        </w:rPr>
        <w:t xml:space="preserve"> </w:t>
      </w:r>
      <w:r>
        <w:rPr>
          <w:rFonts w:ascii="仿宋" w:hAnsi="仿宋" w:eastAsia="仿宋" w:cs="MingLiU"/>
          <w:b/>
          <w:sz w:val="28"/>
          <w:szCs w:val="28"/>
        </w:rPr>
        <w:t>关于银行账户开立就绪的函</w:t>
      </w:r>
    </w:p>
    <w:p>
      <w:pPr>
        <w:spacing w:line="520" w:lineRule="exact"/>
        <w:ind w:right="23"/>
        <w:rPr>
          <w:rFonts w:ascii="仿宋_GB2312" w:hAnsi="仿宋" w:eastAsia="仿宋_GB2312"/>
          <w:sz w:val="28"/>
          <w:szCs w:val="28"/>
        </w:rPr>
      </w:pPr>
      <w:r>
        <w:rPr>
          <w:rFonts w:ascii="仿宋_GB2312" w:hAnsi="仿宋" w:eastAsia="仿宋_GB2312"/>
          <w:sz w:val="28"/>
          <w:szCs w:val="28"/>
        </w:rPr>
        <w:t>信银理财</w:t>
      </w:r>
      <w:r>
        <w:rPr>
          <w:rFonts w:hint="eastAsia" w:ascii="仿宋_GB2312" w:hAnsi="仿宋" w:eastAsia="仿宋_GB2312"/>
          <w:sz w:val="28"/>
          <w:szCs w:val="28"/>
        </w:rPr>
        <w:t>有限责任公司：</w:t>
      </w:r>
    </w:p>
    <w:p>
      <w:pPr>
        <w:spacing w:line="520" w:lineRule="exact"/>
        <w:ind w:right="23"/>
        <w:rPr>
          <w:rFonts w:ascii="仿宋_GB2312" w:hAnsi="仿宋" w:eastAsia="仿宋_GB2312"/>
          <w:sz w:val="28"/>
          <w:szCs w:val="28"/>
        </w:rPr>
      </w:pPr>
    </w:p>
    <w:p>
      <w:pPr>
        <w:spacing w:line="520" w:lineRule="exact"/>
        <w:ind w:right="23"/>
        <w:rPr>
          <w:rFonts w:ascii="仿宋_GB2312" w:hAnsi="仿宋" w:eastAsia="仿宋_GB2312"/>
          <w:sz w:val="28"/>
          <w:szCs w:val="28"/>
        </w:rPr>
      </w:pPr>
      <w:r>
        <w:rPr>
          <w:rFonts w:ascii="仿宋_GB2312" w:hAnsi="仿宋" w:eastAsia="仿宋_GB2312"/>
          <w:sz w:val="28"/>
          <w:szCs w:val="28"/>
        </w:rPr>
        <w:t xml:space="preserve">     信银理财</w:t>
      </w:r>
      <w:r>
        <w:rPr>
          <w:rFonts w:hint="eastAsia" w:ascii="仿宋_GB2312" w:hAnsi="仿宋" w:eastAsia="仿宋_GB2312"/>
          <w:sz w:val="28"/>
          <w:szCs w:val="28"/>
        </w:rPr>
        <w:t xml:space="preserve">【 </w:t>
      </w:r>
      <w:r>
        <w:rPr>
          <w:rFonts w:ascii="仿宋_GB2312" w:hAnsi="仿宋" w:eastAsia="仿宋_GB2312"/>
          <w:sz w:val="28"/>
          <w:szCs w:val="28"/>
        </w:rPr>
        <w:t xml:space="preserve">            </w:t>
      </w:r>
      <w:r>
        <w:rPr>
          <w:rFonts w:hint="eastAsia" w:ascii="仿宋_GB2312" w:hAnsi="仿宋" w:eastAsia="仿宋_GB2312"/>
          <w:sz w:val="28"/>
          <w:szCs w:val="28"/>
        </w:rPr>
        <w:t>】</w:t>
      </w:r>
      <w:r>
        <w:rPr>
          <w:rFonts w:ascii="仿宋_GB2312" w:hAnsi="仿宋" w:eastAsia="仿宋_GB2312"/>
          <w:sz w:val="28"/>
          <w:szCs w:val="28"/>
        </w:rPr>
        <w:t>理财产品</w:t>
      </w:r>
      <w:r>
        <w:rPr>
          <w:rFonts w:hint="eastAsia" w:ascii="仿宋_GB2312" w:hAnsi="仿宋" w:eastAsia="仿宋_GB2312"/>
          <w:sz w:val="28"/>
          <w:szCs w:val="28"/>
        </w:rPr>
        <w:t>银行账户</w:t>
      </w:r>
      <w:r>
        <w:rPr>
          <w:rFonts w:ascii="仿宋_GB2312" w:hAnsi="仿宋" w:eastAsia="仿宋_GB2312"/>
          <w:sz w:val="28"/>
          <w:szCs w:val="28"/>
        </w:rPr>
        <w:t>已经开立完毕</w:t>
      </w:r>
      <w:r>
        <w:rPr>
          <w:rFonts w:hint="eastAsia" w:ascii="仿宋_GB2312" w:hAnsi="仿宋" w:eastAsia="仿宋_GB2312"/>
          <w:sz w:val="28"/>
          <w:szCs w:val="28"/>
        </w:rPr>
        <w:t>，</w:t>
      </w:r>
      <w:r>
        <w:rPr>
          <w:rFonts w:ascii="仿宋_GB2312" w:hAnsi="仿宋" w:eastAsia="仿宋_GB2312"/>
          <w:sz w:val="28"/>
          <w:szCs w:val="28"/>
        </w:rPr>
        <w:t>现将账户信息提供如下</w:t>
      </w:r>
      <w:r>
        <w:rPr>
          <w:rFonts w:hint="eastAsia" w:ascii="仿宋_GB2312" w:hAnsi="仿宋" w:eastAsia="仿宋_GB2312"/>
          <w:sz w:val="28"/>
          <w:szCs w:val="28"/>
        </w:rPr>
        <w:t>：</w:t>
      </w:r>
    </w:p>
    <w:p>
      <w:pPr>
        <w:spacing w:line="520" w:lineRule="exact"/>
        <w:ind w:right="23"/>
        <w:rPr>
          <w:rFonts w:ascii="仿宋_GB2312" w:hAnsi="仿宋" w:eastAsia="仿宋_GB2312"/>
          <w:sz w:val="28"/>
          <w:szCs w:val="28"/>
        </w:rPr>
      </w:pPr>
    </w:p>
    <w:p>
      <w:pPr>
        <w:spacing w:line="520" w:lineRule="exact"/>
        <w:ind w:right="23"/>
        <w:rPr>
          <w:rFonts w:ascii="仿宋_GB2312" w:hAnsi="仿宋" w:eastAsia="仿宋_GB2312"/>
          <w:sz w:val="28"/>
          <w:szCs w:val="28"/>
        </w:rPr>
      </w:pPr>
    </w:p>
    <w:p>
      <w:pPr>
        <w:pStyle w:val="207"/>
        <w:numPr>
          <w:ilvl w:val="0"/>
          <w:numId w:val="2"/>
        </w:numPr>
        <w:spacing w:line="520" w:lineRule="exact"/>
        <w:ind w:right="23"/>
        <w:rPr>
          <w:rFonts w:ascii="仿宋_GB2312" w:hAnsi="仿宋" w:eastAsia="仿宋_GB2312"/>
          <w:sz w:val="28"/>
          <w:szCs w:val="28"/>
        </w:rPr>
      </w:pPr>
      <w:r>
        <w:rPr>
          <w:rFonts w:ascii="仿宋_GB2312" w:hAnsi="仿宋" w:eastAsia="仿宋_GB2312"/>
          <w:sz w:val="28"/>
          <w:szCs w:val="28"/>
        </w:rPr>
        <w:t>银行账户</w:t>
      </w:r>
    </w:p>
    <w:p>
      <w:pPr>
        <w:spacing w:line="520" w:lineRule="exact"/>
        <w:ind w:right="23"/>
        <w:rPr>
          <w:rFonts w:ascii="仿宋_GB2312" w:hAnsi="仿宋" w:eastAsia="仿宋_GB2312"/>
          <w:sz w:val="28"/>
          <w:szCs w:val="28"/>
        </w:rPr>
      </w:pPr>
    </w:p>
    <w:p>
      <w:pPr>
        <w:spacing w:line="520" w:lineRule="exact"/>
        <w:ind w:right="23"/>
        <w:rPr>
          <w:rFonts w:ascii="仿宋_GB2312" w:hAnsi="仿宋" w:eastAsia="仿宋_GB2312"/>
          <w:sz w:val="28"/>
          <w:szCs w:val="28"/>
        </w:rPr>
      </w:pPr>
      <w:r>
        <w:rPr>
          <w:rFonts w:ascii="仿宋_GB2312" w:hAnsi="仿宋" w:eastAsia="仿宋_GB2312"/>
          <w:sz w:val="28"/>
          <w:szCs w:val="28"/>
        </w:rPr>
        <w:t>账户名称</w:t>
      </w:r>
      <w:r>
        <w:rPr>
          <w:rFonts w:hint="eastAsia" w:ascii="仿宋_GB2312" w:hAnsi="仿宋" w:eastAsia="仿宋_GB2312"/>
          <w:sz w:val="28"/>
          <w:szCs w:val="28"/>
        </w:rPr>
        <w:t>：</w:t>
      </w:r>
    </w:p>
    <w:p>
      <w:pPr>
        <w:spacing w:line="520" w:lineRule="exact"/>
        <w:ind w:right="23"/>
        <w:rPr>
          <w:rFonts w:ascii="仿宋_GB2312" w:hAnsi="仿宋" w:eastAsia="仿宋_GB2312"/>
          <w:sz w:val="28"/>
          <w:szCs w:val="28"/>
        </w:rPr>
      </w:pPr>
      <w:r>
        <w:rPr>
          <w:rFonts w:ascii="仿宋_GB2312" w:hAnsi="仿宋" w:eastAsia="仿宋_GB2312"/>
          <w:sz w:val="28"/>
          <w:szCs w:val="28"/>
        </w:rPr>
        <w:t>账号</w:t>
      </w:r>
      <w:r>
        <w:rPr>
          <w:rFonts w:hint="eastAsia" w:ascii="仿宋_GB2312" w:hAnsi="仿宋" w:eastAsia="仿宋_GB2312"/>
          <w:sz w:val="28"/>
          <w:szCs w:val="28"/>
        </w:rPr>
        <w:t>：</w:t>
      </w:r>
    </w:p>
    <w:p>
      <w:pPr>
        <w:spacing w:line="520" w:lineRule="exact"/>
        <w:ind w:right="23"/>
        <w:rPr>
          <w:rFonts w:ascii="仿宋_GB2312" w:hAnsi="仿宋" w:eastAsia="仿宋_GB2312"/>
          <w:sz w:val="28"/>
          <w:szCs w:val="28"/>
        </w:rPr>
      </w:pPr>
      <w:r>
        <w:rPr>
          <w:rFonts w:ascii="仿宋_GB2312" w:hAnsi="仿宋" w:eastAsia="仿宋_GB2312"/>
          <w:sz w:val="28"/>
          <w:szCs w:val="28"/>
        </w:rPr>
        <w:t>开户行</w:t>
      </w:r>
      <w:r>
        <w:rPr>
          <w:rFonts w:hint="eastAsia" w:ascii="仿宋_GB2312" w:hAnsi="仿宋" w:eastAsia="仿宋_GB2312"/>
          <w:sz w:val="28"/>
          <w:szCs w:val="28"/>
        </w:rPr>
        <w:t>：</w:t>
      </w:r>
    </w:p>
    <w:p>
      <w:pPr>
        <w:spacing w:line="520" w:lineRule="exact"/>
        <w:ind w:right="23"/>
        <w:rPr>
          <w:rFonts w:ascii="仿宋_GB2312" w:hAnsi="仿宋" w:eastAsia="仿宋_GB2312"/>
          <w:sz w:val="28"/>
          <w:szCs w:val="28"/>
        </w:rPr>
      </w:pPr>
      <w:r>
        <w:rPr>
          <w:rFonts w:ascii="仿宋_GB2312" w:hAnsi="仿宋" w:eastAsia="仿宋_GB2312"/>
          <w:sz w:val="28"/>
          <w:szCs w:val="28"/>
        </w:rPr>
        <w:t>联行号</w:t>
      </w:r>
      <w:r>
        <w:rPr>
          <w:rFonts w:hint="eastAsia" w:ascii="仿宋_GB2312" w:hAnsi="仿宋" w:eastAsia="仿宋_GB2312"/>
          <w:sz w:val="28"/>
          <w:szCs w:val="28"/>
        </w:rPr>
        <w:t>：</w:t>
      </w:r>
    </w:p>
    <w:p>
      <w:pPr>
        <w:spacing w:line="520" w:lineRule="exact"/>
        <w:ind w:right="23"/>
        <w:rPr>
          <w:rFonts w:ascii="仿宋_GB2312" w:hAnsi="仿宋" w:eastAsia="仿宋_GB2312"/>
          <w:sz w:val="28"/>
          <w:szCs w:val="28"/>
        </w:rPr>
      </w:pPr>
      <w:r>
        <w:rPr>
          <w:rFonts w:ascii="仿宋_GB2312" w:hAnsi="仿宋" w:eastAsia="仿宋_GB2312"/>
          <w:sz w:val="28"/>
          <w:szCs w:val="28"/>
        </w:rPr>
        <w:t>大额支付号</w:t>
      </w:r>
      <w:r>
        <w:rPr>
          <w:rFonts w:hint="eastAsia" w:ascii="仿宋_GB2312" w:hAnsi="仿宋" w:eastAsia="仿宋_GB2312"/>
          <w:sz w:val="28"/>
          <w:szCs w:val="28"/>
        </w:rPr>
        <w:t>：</w:t>
      </w:r>
    </w:p>
    <w:p>
      <w:pPr>
        <w:spacing w:line="520" w:lineRule="exact"/>
        <w:ind w:right="23"/>
        <w:rPr>
          <w:rFonts w:ascii="仿宋_GB2312" w:hAnsi="仿宋" w:eastAsia="仿宋_GB2312"/>
          <w:sz w:val="28"/>
          <w:szCs w:val="28"/>
        </w:rPr>
      </w:pPr>
      <w:r>
        <w:rPr>
          <w:rFonts w:ascii="仿宋_GB2312" w:hAnsi="仿宋" w:eastAsia="仿宋_GB2312"/>
          <w:sz w:val="28"/>
          <w:szCs w:val="28"/>
        </w:rPr>
        <w:t>利率</w:t>
      </w:r>
      <w:r>
        <w:rPr>
          <w:rFonts w:hint="eastAsia" w:ascii="仿宋_GB2312" w:hAnsi="仿宋" w:eastAsia="仿宋_GB2312"/>
          <w:sz w:val="28"/>
          <w:szCs w:val="28"/>
        </w:rPr>
        <w:t>：</w:t>
      </w:r>
    </w:p>
    <w:p>
      <w:pPr>
        <w:spacing w:line="520" w:lineRule="exact"/>
        <w:ind w:right="23"/>
        <w:rPr>
          <w:rFonts w:ascii="仿宋_GB2312" w:hAnsi="仿宋" w:eastAsia="仿宋_GB2312"/>
          <w:sz w:val="28"/>
          <w:szCs w:val="28"/>
        </w:rPr>
      </w:pPr>
    </w:p>
    <w:p>
      <w:pPr>
        <w:spacing w:line="520" w:lineRule="exact"/>
        <w:ind w:right="23"/>
        <w:rPr>
          <w:rFonts w:ascii="仿宋_GB2312" w:hAnsi="仿宋" w:eastAsia="仿宋_GB2312"/>
          <w:sz w:val="28"/>
          <w:szCs w:val="28"/>
        </w:rPr>
      </w:pPr>
    </w:p>
    <w:p>
      <w:pPr>
        <w:spacing w:line="520" w:lineRule="exact"/>
        <w:ind w:right="23"/>
        <w:rPr>
          <w:rFonts w:ascii="仿宋_GB2312" w:hAnsi="仿宋" w:eastAsia="仿宋_GB2312"/>
          <w:sz w:val="28"/>
          <w:szCs w:val="28"/>
        </w:rPr>
      </w:pPr>
      <w:r>
        <w:rPr>
          <w:rFonts w:ascii="仿宋_GB2312" w:hAnsi="仿宋" w:eastAsia="仿宋_GB2312"/>
          <w:sz w:val="28"/>
          <w:szCs w:val="28"/>
        </w:rPr>
        <w:t>以上产品银行账户已经准备就绪</w:t>
      </w:r>
      <w:r>
        <w:rPr>
          <w:rFonts w:hint="eastAsia" w:ascii="仿宋_GB2312" w:hAnsi="仿宋" w:eastAsia="仿宋_GB2312"/>
          <w:sz w:val="28"/>
          <w:szCs w:val="28"/>
        </w:rPr>
        <w:t>，</w:t>
      </w:r>
      <w:r>
        <w:rPr>
          <w:rFonts w:ascii="仿宋_GB2312" w:hAnsi="仿宋" w:eastAsia="仿宋_GB2312"/>
          <w:sz w:val="28"/>
          <w:szCs w:val="28"/>
        </w:rPr>
        <w:t>如有问题请与我部联系</w:t>
      </w:r>
      <w:r>
        <w:rPr>
          <w:rFonts w:hint="eastAsia" w:ascii="仿宋_GB2312" w:hAnsi="仿宋" w:eastAsia="仿宋_GB2312"/>
          <w:sz w:val="28"/>
          <w:szCs w:val="28"/>
        </w:rPr>
        <w:t>。　</w:t>
      </w:r>
      <w:r>
        <w:rPr>
          <w:rFonts w:ascii="仿宋_GB2312" w:hAnsi="仿宋" w:eastAsia="仿宋_GB2312"/>
          <w:sz w:val="28"/>
          <w:szCs w:val="28"/>
        </w:rPr>
        <w:t>特至此函</w:t>
      </w:r>
      <w:r>
        <w:rPr>
          <w:rFonts w:hint="eastAsia" w:ascii="仿宋_GB2312" w:hAnsi="仿宋" w:eastAsia="仿宋_GB2312"/>
          <w:sz w:val="28"/>
          <w:szCs w:val="28"/>
        </w:rPr>
        <w:t>，</w:t>
      </w:r>
      <w:r>
        <w:rPr>
          <w:rFonts w:ascii="仿宋_GB2312" w:hAnsi="仿宋" w:eastAsia="仿宋_GB2312"/>
          <w:sz w:val="28"/>
          <w:szCs w:val="28"/>
        </w:rPr>
        <w:t>感谢合作</w:t>
      </w:r>
      <w:r>
        <w:rPr>
          <w:rFonts w:hint="eastAsia" w:ascii="仿宋_GB2312" w:hAnsi="仿宋" w:eastAsia="仿宋_GB2312"/>
          <w:sz w:val="28"/>
          <w:szCs w:val="28"/>
        </w:rPr>
        <w:t>。</w:t>
      </w:r>
    </w:p>
    <w:p>
      <w:pPr>
        <w:spacing w:line="520" w:lineRule="exact"/>
        <w:ind w:right="23"/>
        <w:rPr>
          <w:rFonts w:ascii="仿宋_GB2312" w:hAnsi="仿宋" w:eastAsia="仿宋_GB2312"/>
          <w:sz w:val="28"/>
          <w:szCs w:val="28"/>
        </w:rPr>
      </w:pPr>
    </w:p>
    <w:p>
      <w:pPr>
        <w:spacing w:line="520" w:lineRule="exact"/>
        <w:ind w:right="23"/>
        <w:rPr>
          <w:rFonts w:ascii="仿宋_GB2312" w:hAnsi="仿宋" w:eastAsia="仿宋_GB2312"/>
          <w:sz w:val="28"/>
          <w:szCs w:val="28"/>
        </w:rPr>
      </w:pPr>
    </w:p>
    <w:p>
      <w:pPr>
        <w:spacing w:line="520" w:lineRule="exact"/>
        <w:ind w:right="23"/>
        <w:jc w:val="right"/>
        <w:rPr>
          <w:rFonts w:ascii="仿宋_GB2312" w:hAnsi="仿宋" w:eastAsia="仿宋_GB2312"/>
          <w:sz w:val="28"/>
          <w:szCs w:val="28"/>
        </w:rPr>
      </w:pPr>
      <w:r>
        <w:rPr>
          <w:rFonts w:hint="eastAsia" w:ascii="仿宋_GB2312" w:hAnsi="仿宋" w:eastAsia="仿宋_GB2312"/>
          <w:sz w:val="28"/>
          <w:szCs w:val="28"/>
        </w:rPr>
        <w:t>徽商银行股份有限公司**支行</w:t>
      </w:r>
    </w:p>
    <w:p>
      <w:pPr>
        <w:spacing w:line="520" w:lineRule="exact"/>
        <w:ind w:right="23"/>
        <w:jc w:val="right"/>
        <w:rPr>
          <w:rFonts w:ascii="仿宋_GB2312" w:hAnsi="仿宋" w:eastAsia="仿宋_GB2312"/>
          <w:sz w:val="28"/>
          <w:szCs w:val="28"/>
        </w:rPr>
      </w:pPr>
      <w:r>
        <w:rPr>
          <w:rFonts w:ascii="仿宋_GB2312" w:hAnsi="仿宋" w:eastAsia="仿宋_GB2312"/>
          <w:sz w:val="28"/>
          <w:szCs w:val="28"/>
        </w:rPr>
        <w:t>年</w:t>
      </w:r>
      <w:r>
        <w:rPr>
          <w:rFonts w:hint="eastAsia" w:ascii="仿宋_GB2312" w:hAnsi="仿宋" w:eastAsia="仿宋_GB2312"/>
          <w:sz w:val="28"/>
          <w:szCs w:val="28"/>
        </w:rPr>
        <w:t>　　</w:t>
      </w:r>
      <w:r>
        <w:rPr>
          <w:rFonts w:ascii="仿宋_GB2312" w:hAnsi="仿宋" w:eastAsia="仿宋_GB2312"/>
          <w:sz w:val="28"/>
          <w:szCs w:val="28"/>
        </w:rPr>
        <w:t>月</w:t>
      </w:r>
      <w:r>
        <w:rPr>
          <w:rFonts w:hint="eastAsia" w:ascii="仿宋_GB2312" w:hAnsi="仿宋" w:eastAsia="仿宋_GB2312"/>
          <w:sz w:val="28"/>
          <w:szCs w:val="28"/>
        </w:rPr>
        <w:t>　　</w:t>
      </w:r>
      <w:r>
        <w:rPr>
          <w:rFonts w:ascii="仿宋_GB2312" w:hAnsi="仿宋" w:eastAsia="仿宋_GB2312"/>
          <w:sz w:val="28"/>
          <w:szCs w:val="28"/>
        </w:rPr>
        <w:t>日</w:t>
      </w:r>
    </w:p>
    <w:p/>
    <w:p/>
    <w:p/>
    <w:p/>
    <w:sectPr>
      <w:footerReference r:id="rId7" w:type="default"/>
      <w:footerReference r:id="rId8" w:type="even"/>
      <w:pgSz w:w="11907" w:h="16840"/>
      <w:pgMar w:top="1090" w:right="1678" w:bottom="935" w:left="1678" w:header="720" w:footer="720" w:gutter="0"/>
      <w:pgNumType w:start="0"/>
      <w:cols w:space="720" w:num="1"/>
      <w:titlePg/>
      <w:docGrid w:linePitch="360"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renzhen1" w:date="2025-10-22T15:19:42Z" w:initials="">
    <w:p w14:paraId="1A924782">
      <w:pPr>
        <w:spacing w:before="0" w:after="0" w:line="240" w:lineRule="auto"/>
        <w:ind w:left="0" w:right="0" w:firstLine="0"/>
        <w:jc w:val="left"/>
      </w:pPr>
      <w:r>
        <w:rPr>
          <w:rFonts w:ascii="Arial" w:hAnsi="Arial" w:eastAsia="Arial" w:cs="Arial"/>
          <w:sz w:val="22"/>
        </w:rPr>
        <w:t>请保留原文</w:t>
      </w:r>
    </w:p>
  </w:comment>
  <w:comment w:id="1" w:author="韩萍" w:date="2025-07-14T09:08:00Z" w:initials="韩萍">
    <w:p w14:paraId="301A3C3C">
      <w:pPr>
        <w:spacing w:before="0" w:after="0" w:line="240" w:lineRule="auto"/>
        <w:ind w:left="0" w:right="0" w:firstLine="0"/>
        <w:jc w:val="left"/>
      </w:pPr>
      <w:r>
        <w:rPr>
          <w:rFonts w:ascii="Arial" w:hAnsi="Arial" w:eastAsia="Arial" w:cs="Arial"/>
          <w:sz w:val="22"/>
        </w:rPr>
        <w:t>资管计划、基金等资产</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1A924782" w15:done="0"/>
  <w15:commentEx w15:paraId="301A3C3C"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华文仿宋">
    <w:altName w:val="仿宋"/>
    <w:panose1 w:val="02010600040101010101"/>
    <w:charset w:val="86"/>
    <w:family w:val="auto"/>
    <w:pitch w:val="default"/>
    <w:sig w:usb0="00000000" w:usb1="00000000" w:usb2="00000000" w:usb3="00000000" w:csb0="0004009F" w:csb1="DFD70000"/>
  </w:font>
  <w:font w:name="MingLiU">
    <w:altName w:val="Sitka Text"/>
    <w:panose1 w:val="02020500000000000000"/>
    <w:charset w:val="00"/>
    <w:family w:val="auto"/>
    <w:pitch w:val="default"/>
    <w:sig w:usb0="00000000" w:usb1="00000000" w:usb2="00000000" w:usb3="00000000" w:csb0="00000000" w:csb1="00000000"/>
  </w:font>
  <w:font w:name="Sitka Text">
    <w:panose1 w:val="02000505000000020004"/>
    <w:charset w:val="00"/>
    <w:family w:val="auto"/>
    <w:pitch w:val="default"/>
    <w:sig w:usb0="A00002EF" w:usb1="4000204B"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framePr w:wrap="around" w:vAnchor="text" w:hAnchor="margin" w:xAlign="center" w:y="1"/>
      <w:rPr>
        <w:rStyle w:val="37"/>
      </w:rPr>
    </w:pPr>
    <w:r>
      <w:fldChar w:fldCharType="begin"/>
    </w:r>
    <w:r>
      <w:rPr>
        <w:rStyle w:val="37"/>
      </w:rPr>
      <w:instrText xml:space="preserve">PAGE  </w:instrText>
    </w:r>
    <w:r>
      <w:fldChar w:fldCharType="separate"/>
    </w:r>
    <w:r>
      <w:rPr>
        <w:rStyle w:val="37"/>
      </w:rPr>
      <w:t>32</w:t>
    </w:r>
    <w:r>
      <w:fldChar w:fldCharType="end"/>
    </w:r>
  </w:p>
  <w:p>
    <w:pPr>
      <w:pStyle w:val="2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framePr w:wrap="around" w:vAnchor="text" w:hAnchor="margin" w:xAlign="center" w:y="1"/>
      <w:rPr>
        <w:rStyle w:val="37"/>
      </w:rPr>
    </w:pPr>
    <w:r>
      <w:fldChar w:fldCharType="begin"/>
    </w:r>
    <w:r>
      <w:rPr>
        <w:rStyle w:val="37"/>
      </w:rPr>
      <w:instrText xml:space="preserve">PAGE  </w:instrText>
    </w:r>
    <w:r>
      <w:fldChar w:fldCharType="end"/>
    </w:r>
  </w:p>
  <w:p>
    <w:pPr>
      <w:pStyle w:val="2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framePr w:wrap="around" w:vAnchor="text" w:hAnchor="margin" w:xAlign="center" w:y="1"/>
      <w:rPr>
        <w:rStyle w:val="37"/>
      </w:rPr>
    </w:pPr>
    <w:r>
      <w:fldChar w:fldCharType="begin"/>
    </w:r>
    <w:r>
      <w:rPr>
        <w:rStyle w:val="37"/>
      </w:rPr>
      <w:instrText xml:space="preserve">PAGE  </w:instrText>
    </w:r>
    <w:r>
      <w:fldChar w:fldCharType="end"/>
    </w:r>
  </w:p>
  <w:p>
    <w:pPr>
      <w:pStyle w:val="21"/>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decimal"/>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0053208E"/>
    <w:multiLevelType w:val="multilevel"/>
    <w:tmpl w:val="0053208E"/>
    <w:lvl w:ilvl="0" w:tentative="0">
      <w:start w:val="1"/>
      <w:numFmt w:val="chineseCountingThousand"/>
      <w:lvlText w:val="%1、"/>
      <w:lvlJc w:val="left"/>
      <w:pPr>
        <w:ind w:left="987" w:hanging="420"/>
      </w:pPr>
    </w:lvl>
    <w:lvl w:ilvl="1" w:tentative="0">
      <w:start w:val="1"/>
      <w:numFmt w:val="lowerLetter"/>
      <w:lvlText w:val="%2)"/>
      <w:lvlJc w:val="left"/>
      <w:pPr>
        <w:ind w:left="1407" w:hanging="420"/>
      </w:pPr>
    </w:lvl>
    <w:lvl w:ilvl="2" w:tentative="0">
      <w:start w:val="1"/>
      <w:numFmt w:val="lowerRoman"/>
      <w:lvlText w:val="%3."/>
      <w:lvlJc w:val="right"/>
      <w:pPr>
        <w:ind w:left="1827" w:hanging="420"/>
      </w:pPr>
    </w:lvl>
    <w:lvl w:ilvl="3" w:tentative="0">
      <w:start w:val="1"/>
      <w:numFmt w:val="decimal"/>
      <w:lvlText w:val="%4."/>
      <w:lvlJc w:val="left"/>
      <w:pPr>
        <w:ind w:left="2247" w:hanging="420"/>
      </w:pPr>
    </w:lvl>
    <w:lvl w:ilvl="4" w:tentative="0">
      <w:start w:val="1"/>
      <w:numFmt w:val="lowerLetter"/>
      <w:lvlText w:val="%5)"/>
      <w:lvlJc w:val="left"/>
      <w:pPr>
        <w:ind w:left="2667" w:hanging="420"/>
      </w:pPr>
    </w:lvl>
    <w:lvl w:ilvl="5" w:tentative="0">
      <w:start w:val="1"/>
      <w:numFmt w:val="lowerRoman"/>
      <w:lvlText w:val="%6."/>
      <w:lvlJc w:val="right"/>
      <w:pPr>
        <w:ind w:left="3087" w:hanging="420"/>
      </w:pPr>
    </w:lvl>
    <w:lvl w:ilvl="6" w:tentative="0">
      <w:start w:val="1"/>
      <w:numFmt w:val="decimal"/>
      <w:lvlText w:val="%7."/>
      <w:lvlJc w:val="left"/>
      <w:pPr>
        <w:ind w:left="3507" w:hanging="420"/>
      </w:pPr>
    </w:lvl>
    <w:lvl w:ilvl="7" w:tentative="0">
      <w:start w:val="1"/>
      <w:numFmt w:val="lowerLetter"/>
      <w:lvlText w:val="%8)"/>
      <w:lvlJc w:val="left"/>
      <w:pPr>
        <w:ind w:left="3927" w:hanging="420"/>
      </w:pPr>
    </w:lvl>
    <w:lvl w:ilvl="8" w:tentative="0">
      <w:start w:val="1"/>
      <w:numFmt w:val="lowerRoman"/>
      <w:lvlText w:val="%9."/>
      <w:lvlJc w:val="right"/>
      <w:pPr>
        <w:ind w:left="4347" w:hanging="420"/>
      </w:pPr>
    </w:lvl>
  </w:abstractNum>
  <w:num w:numId="1">
    <w:abstractNumId w:val="1"/>
  </w:num>
  <w:num w:numId="2">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renzhen1">
    <w15:presenceInfo w15:providerId="None" w15:userId="renzhen1"/>
  </w15:person>
  <w15:person w15:author="韩萍">
    <w15:presenceInfo w15:providerId="AD" w15:userId="S-1-5-21-3668437711-2848147281-3232966507-632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6"/>
  <w:trackRevisions w:val="1"/>
  <w:documentProtection w:enforcement="0"/>
  <w:defaultTabStop w:val="4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89227AF"/>
    <w:rsid w:val="10F63064"/>
    <w:rsid w:val="168C6E8D"/>
    <w:rsid w:val="1AE90D61"/>
    <w:rsid w:val="22292D4C"/>
    <w:rsid w:val="281F7CBA"/>
    <w:rsid w:val="2CC11394"/>
    <w:rsid w:val="2F8E0071"/>
    <w:rsid w:val="31771622"/>
    <w:rsid w:val="41D04EBC"/>
    <w:rsid w:val="4587578B"/>
    <w:rsid w:val="47C16D28"/>
    <w:rsid w:val="48426AB1"/>
    <w:rsid w:val="49300BA2"/>
    <w:rsid w:val="4B994494"/>
    <w:rsid w:val="4D90759A"/>
    <w:rsid w:val="52217822"/>
    <w:rsid w:val="548F3985"/>
    <w:rsid w:val="56D55294"/>
    <w:rsid w:val="70551C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0" w:semiHidden="0" w:name="annotation text"/>
    <w:lsdException w:qFormat="1" w:uiPriority="99"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宋体" w:cs="Times New Roman"/>
      <w:sz w:val="21"/>
      <w:lang w:val="en-US" w:eastAsia="zh-CN" w:bidi="ar-SA"/>
    </w:rPr>
  </w:style>
  <w:style w:type="paragraph" w:styleId="3">
    <w:name w:val="heading 1"/>
    <w:basedOn w:val="1"/>
    <w:next w:val="1"/>
    <w:link w:val="58"/>
    <w:qFormat/>
    <w:uiPriority w:val="0"/>
    <w:pPr>
      <w:keepNext/>
      <w:keepLines/>
      <w:spacing w:line="360" w:lineRule="auto"/>
      <w:ind w:firstLine="541"/>
      <w:outlineLvl w:val="0"/>
    </w:pPr>
    <w:rPr>
      <w:rFonts w:ascii="宋体" w:hAnsi="宋体"/>
      <w:b/>
      <w:color w:val="000000"/>
      <w:sz w:val="24"/>
    </w:rPr>
  </w:style>
  <w:style w:type="paragraph" w:styleId="2">
    <w:name w:val="heading 2"/>
    <w:basedOn w:val="1"/>
    <w:next w:val="1"/>
    <w:link w:val="59"/>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60"/>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6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62"/>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63"/>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64"/>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65"/>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66"/>
    <w:unhideWhenUsed/>
    <w:qFormat/>
    <w:uiPriority w:val="9"/>
    <w:pPr>
      <w:keepNext/>
      <w:keepLines/>
      <w:spacing w:before="320" w:after="200"/>
      <w:outlineLvl w:val="8"/>
    </w:pPr>
    <w:rPr>
      <w:rFonts w:ascii="Arial" w:hAnsi="Arial" w:eastAsia="Arial" w:cs="Arial"/>
      <w:i/>
      <w:iCs/>
      <w:sz w:val="21"/>
      <w:szCs w:val="21"/>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874CB" w:themeColor="accent1"/>
      <w:sz w:val="18"/>
      <w:szCs w:val="18"/>
      <w14:textFill>
        <w14:solidFill>
          <w14:schemeClr w14:val="accent1"/>
        </w14:solidFill>
      </w14:textFill>
    </w:rPr>
  </w:style>
  <w:style w:type="paragraph" w:styleId="13">
    <w:name w:val="annotation text"/>
    <w:basedOn w:val="1"/>
    <w:link w:val="209"/>
    <w:unhideWhenUsed/>
    <w:qFormat/>
    <w:uiPriority w:val="0"/>
    <w:pPr>
      <w:jc w:val="left"/>
    </w:pPr>
  </w:style>
  <w:style w:type="paragraph" w:styleId="14">
    <w:name w:val="Body Text Indent"/>
    <w:basedOn w:val="1"/>
    <w:qFormat/>
    <w:uiPriority w:val="0"/>
    <w:pPr>
      <w:spacing w:line="360" w:lineRule="auto"/>
      <w:ind w:firstLine="478"/>
    </w:pPr>
    <w:rPr>
      <w:rFonts w:ascii="宋体" w:hAnsi="宋体" w:cs="Arial" w:eastAsiaTheme="minorEastAsia"/>
      <w:sz w:val="24"/>
      <w:szCs w:val="21"/>
    </w:rPr>
  </w:style>
  <w:style w:type="paragraph" w:styleId="15">
    <w:name w:val="toc 5"/>
    <w:basedOn w:val="1"/>
    <w:next w:val="1"/>
    <w:unhideWhenUsed/>
    <w:qFormat/>
    <w:uiPriority w:val="39"/>
    <w:pPr>
      <w:spacing w:after="57"/>
      <w:ind w:left="1134"/>
    </w:pPr>
  </w:style>
  <w:style w:type="paragraph" w:styleId="16">
    <w:name w:val="toc 3"/>
    <w:basedOn w:val="1"/>
    <w:next w:val="1"/>
    <w:unhideWhenUsed/>
    <w:qFormat/>
    <w:uiPriority w:val="39"/>
    <w:pPr>
      <w:spacing w:after="57"/>
      <w:ind w:left="567"/>
    </w:pPr>
  </w:style>
  <w:style w:type="paragraph" w:styleId="17">
    <w:name w:val="toc 8"/>
    <w:basedOn w:val="1"/>
    <w:next w:val="1"/>
    <w:unhideWhenUsed/>
    <w:qFormat/>
    <w:uiPriority w:val="39"/>
    <w:pPr>
      <w:spacing w:after="57"/>
      <w:ind w:left="1984"/>
    </w:pPr>
  </w:style>
  <w:style w:type="paragraph" w:styleId="18">
    <w:name w:val="Body Text Indent 2"/>
    <w:basedOn w:val="1"/>
    <w:qFormat/>
    <w:uiPriority w:val="0"/>
    <w:pPr>
      <w:spacing w:before="60" w:after="60"/>
      <w:ind w:left="479"/>
    </w:pPr>
    <w:rPr>
      <w:rFonts w:ascii="宋体" w:hAnsiTheme="minorHAnsi" w:eastAsiaTheme="minorEastAsia" w:cstheme="minorBidi"/>
      <w:sz w:val="24"/>
      <w:szCs w:val="22"/>
    </w:rPr>
  </w:style>
  <w:style w:type="paragraph" w:styleId="19">
    <w:name w:val="endnote text"/>
    <w:basedOn w:val="1"/>
    <w:link w:val="204"/>
    <w:semiHidden/>
    <w:unhideWhenUsed/>
    <w:qFormat/>
    <w:uiPriority w:val="99"/>
    <w:rPr>
      <w:sz w:val="20"/>
    </w:rPr>
  </w:style>
  <w:style w:type="paragraph" w:styleId="20">
    <w:name w:val="Balloon Text"/>
    <w:basedOn w:val="1"/>
    <w:link w:val="208"/>
    <w:semiHidden/>
    <w:unhideWhenUsed/>
    <w:qFormat/>
    <w:uiPriority w:val="99"/>
    <w:rPr>
      <w:sz w:val="18"/>
      <w:szCs w:val="18"/>
    </w:rPr>
  </w:style>
  <w:style w:type="paragraph" w:styleId="21">
    <w:name w:val="footer"/>
    <w:basedOn w:val="1"/>
    <w:link w:val="77"/>
    <w:qFormat/>
    <w:uiPriority w:val="0"/>
    <w:pPr>
      <w:tabs>
        <w:tab w:val="center" w:pos="4153"/>
        <w:tab w:val="right" w:pos="8306"/>
      </w:tabs>
      <w:jc w:val="left"/>
    </w:pPr>
    <w:rPr>
      <w:rFonts w:asciiTheme="minorHAnsi" w:hAnsiTheme="minorHAnsi" w:eastAsiaTheme="minorEastAsia" w:cstheme="minorBidi"/>
      <w:sz w:val="18"/>
      <w:szCs w:val="18"/>
    </w:rPr>
  </w:style>
  <w:style w:type="paragraph" w:styleId="22">
    <w:name w:val="header"/>
    <w:basedOn w:val="1"/>
    <w:link w:val="75"/>
    <w:unhideWhenUsed/>
    <w:qFormat/>
    <w:uiPriority w:val="99"/>
    <w:pPr>
      <w:tabs>
        <w:tab w:val="center" w:pos="7143"/>
        <w:tab w:val="right" w:pos="14287"/>
      </w:tabs>
    </w:pPr>
  </w:style>
  <w:style w:type="paragraph" w:styleId="23">
    <w:name w:val="toc 1"/>
    <w:basedOn w:val="1"/>
    <w:next w:val="1"/>
    <w:unhideWhenUsed/>
    <w:qFormat/>
    <w:uiPriority w:val="39"/>
    <w:pPr>
      <w:spacing w:after="57"/>
    </w:pPr>
  </w:style>
  <w:style w:type="paragraph" w:styleId="24">
    <w:name w:val="toc 4"/>
    <w:basedOn w:val="1"/>
    <w:next w:val="1"/>
    <w:unhideWhenUsed/>
    <w:qFormat/>
    <w:uiPriority w:val="39"/>
    <w:pPr>
      <w:spacing w:after="57"/>
      <w:ind w:left="850"/>
    </w:pPr>
  </w:style>
  <w:style w:type="paragraph" w:styleId="25">
    <w:name w:val="Subtitle"/>
    <w:basedOn w:val="1"/>
    <w:next w:val="1"/>
    <w:link w:val="70"/>
    <w:qFormat/>
    <w:uiPriority w:val="11"/>
    <w:pPr>
      <w:spacing w:before="200" w:after="200"/>
    </w:pPr>
    <w:rPr>
      <w:sz w:val="24"/>
      <w:szCs w:val="24"/>
    </w:rPr>
  </w:style>
  <w:style w:type="paragraph" w:styleId="26">
    <w:name w:val="footnote text"/>
    <w:basedOn w:val="1"/>
    <w:link w:val="203"/>
    <w:semiHidden/>
    <w:unhideWhenUsed/>
    <w:qFormat/>
    <w:uiPriority w:val="99"/>
    <w:pPr>
      <w:spacing w:after="40"/>
    </w:pPr>
    <w:rPr>
      <w:sz w:val="18"/>
    </w:rPr>
  </w:style>
  <w:style w:type="paragraph" w:styleId="27">
    <w:name w:val="toc 6"/>
    <w:basedOn w:val="1"/>
    <w:next w:val="1"/>
    <w:unhideWhenUsed/>
    <w:qFormat/>
    <w:uiPriority w:val="39"/>
    <w:pPr>
      <w:spacing w:after="57"/>
      <w:ind w:left="1417"/>
    </w:pPr>
  </w:style>
  <w:style w:type="paragraph" w:styleId="28">
    <w:name w:val="table of figures"/>
    <w:basedOn w:val="1"/>
    <w:next w:val="1"/>
    <w:unhideWhenUsed/>
    <w:qFormat/>
    <w:uiPriority w:val="99"/>
  </w:style>
  <w:style w:type="paragraph" w:styleId="29">
    <w:name w:val="toc 2"/>
    <w:basedOn w:val="1"/>
    <w:next w:val="1"/>
    <w:unhideWhenUsed/>
    <w:qFormat/>
    <w:uiPriority w:val="39"/>
    <w:pPr>
      <w:spacing w:after="57"/>
      <w:ind w:left="283"/>
    </w:pPr>
  </w:style>
  <w:style w:type="paragraph" w:styleId="30">
    <w:name w:val="toc 9"/>
    <w:basedOn w:val="1"/>
    <w:next w:val="1"/>
    <w:unhideWhenUsed/>
    <w:qFormat/>
    <w:uiPriority w:val="39"/>
    <w:pPr>
      <w:spacing w:after="57"/>
      <w:ind w:left="2268"/>
    </w:pPr>
  </w:style>
  <w:style w:type="paragraph" w:styleId="31">
    <w:name w:val="Title"/>
    <w:basedOn w:val="1"/>
    <w:next w:val="1"/>
    <w:link w:val="69"/>
    <w:qFormat/>
    <w:uiPriority w:val="10"/>
    <w:pPr>
      <w:spacing w:before="300" w:after="200"/>
      <w:contextualSpacing/>
    </w:pPr>
    <w:rPr>
      <w:sz w:val="48"/>
      <w:szCs w:val="48"/>
    </w:rPr>
  </w:style>
  <w:style w:type="paragraph" w:styleId="32">
    <w:name w:val="annotation subject"/>
    <w:basedOn w:val="13"/>
    <w:next w:val="13"/>
    <w:link w:val="210"/>
    <w:semiHidden/>
    <w:unhideWhenUsed/>
    <w:qFormat/>
    <w:uiPriority w:val="99"/>
    <w:rPr>
      <w:b/>
      <w:bCs/>
    </w:rPr>
  </w:style>
  <w:style w:type="table" w:styleId="34">
    <w:name w:val="Table Grid"/>
    <w:basedOn w:val="33"/>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6">
    <w:name w:val="endnote reference"/>
    <w:basedOn w:val="35"/>
    <w:semiHidden/>
    <w:unhideWhenUsed/>
    <w:qFormat/>
    <w:uiPriority w:val="99"/>
    <w:rPr>
      <w:vertAlign w:val="superscript"/>
    </w:rPr>
  </w:style>
  <w:style w:type="character" w:styleId="37">
    <w:name w:val="page number"/>
    <w:basedOn w:val="35"/>
    <w:qFormat/>
    <w:uiPriority w:val="0"/>
  </w:style>
  <w:style w:type="character" w:styleId="38">
    <w:name w:val="Hyperlink"/>
    <w:unhideWhenUsed/>
    <w:qFormat/>
    <w:uiPriority w:val="99"/>
    <w:rPr>
      <w:color w:val="0026E5" w:themeColor="hyperlink"/>
      <w:u w:val="single"/>
      <w14:textFill>
        <w14:solidFill>
          <w14:schemeClr w14:val="hlink"/>
        </w14:solidFill>
      </w14:textFill>
    </w:rPr>
  </w:style>
  <w:style w:type="character" w:styleId="39">
    <w:name w:val="annotation reference"/>
    <w:qFormat/>
    <w:uiPriority w:val="0"/>
    <w:rPr>
      <w:sz w:val="21"/>
      <w:szCs w:val="21"/>
    </w:rPr>
  </w:style>
  <w:style w:type="character" w:styleId="40">
    <w:name w:val="footnote reference"/>
    <w:basedOn w:val="35"/>
    <w:unhideWhenUsed/>
    <w:qFormat/>
    <w:uiPriority w:val="99"/>
    <w:rPr>
      <w:vertAlign w:val="superscript"/>
    </w:rPr>
  </w:style>
  <w:style w:type="character" w:customStyle="1" w:styleId="41">
    <w:name w:val="Heading 1 Char"/>
    <w:basedOn w:val="35"/>
    <w:qFormat/>
    <w:uiPriority w:val="9"/>
    <w:rPr>
      <w:rFonts w:ascii="Arial" w:hAnsi="Arial" w:eastAsia="Arial" w:cs="Arial"/>
      <w:sz w:val="40"/>
      <w:szCs w:val="40"/>
    </w:rPr>
  </w:style>
  <w:style w:type="character" w:customStyle="1" w:styleId="42">
    <w:name w:val="Heading 2 Char"/>
    <w:basedOn w:val="35"/>
    <w:qFormat/>
    <w:uiPriority w:val="9"/>
    <w:rPr>
      <w:rFonts w:ascii="Arial" w:hAnsi="Arial" w:eastAsia="Arial" w:cs="Arial"/>
      <w:sz w:val="34"/>
    </w:rPr>
  </w:style>
  <w:style w:type="character" w:customStyle="1" w:styleId="43">
    <w:name w:val="Heading 3 Char"/>
    <w:basedOn w:val="35"/>
    <w:qFormat/>
    <w:uiPriority w:val="9"/>
    <w:rPr>
      <w:rFonts w:ascii="Arial" w:hAnsi="Arial" w:eastAsia="Arial" w:cs="Arial"/>
      <w:sz w:val="30"/>
      <w:szCs w:val="30"/>
    </w:rPr>
  </w:style>
  <w:style w:type="character" w:customStyle="1" w:styleId="44">
    <w:name w:val="Heading 4 Char"/>
    <w:basedOn w:val="35"/>
    <w:qFormat/>
    <w:uiPriority w:val="9"/>
    <w:rPr>
      <w:rFonts w:ascii="Arial" w:hAnsi="Arial" w:eastAsia="Arial" w:cs="Arial"/>
      <w:b/>
      <w:bCs/>
      <w:sz w:val="26"/>
      <w:szCs w:val="26"/>
    </w:rPr>
  </w:style>
  <w:style w:type="character" w:customStyle="1" w:styleId="45">
    <w:name w:val="Heading 5 Char"/>
    <w:basedOn w:val="35"/>
    <w:qFormat/>
    <w:uiPriority w:val="9"/>
    <w:rPr>
      <w:rFonts w:ascii="Arial" w:hAnsi="Arial" w:eastAsia="Arial" w:cs="Arial"/>
      <w:b/>
      <w:bCs/>
      <w:sz w:val="24"/>
      <w:szCs w:val="24"/>
    </w:rPr>
  </w:style>
  <w:style w:type="character" w:customStyle="1" w:styleId="46">
    <w:name w:val="Heading 6 Char"/>
    <w:basedOn w:val="35"/>
    <w:qFormat/>
    <w:uiPriority w:val="9"/>
    <w:rPr>
      <w:rFonts w:ascii="Arial" w:hAnsi="Arial" w:eastAsia="Arial" w:cs="Arial"/>
      <w:b/>
      <w:bCs/>
      <w:sz w:val="22"/>
      <w:szCs w:val="22"/>
    </w:rPr>
  </w:style>
  <w:style w:type="character" w:customStyle="1" w:styleId="47">
    <w:name w:val="Heading 7 Char"/>
    <w:basedOn w:val="35"/>
    <w:qFormat/>
    <w:uiPriority w:val="9"/>
    <w:rPr>
      <w:rFonts w:ascii="Arial" w:hAnsi="Arial" w:eastAsia="Arial" w:cs="Arial"/>
      <w:b/>
      <w:bCs/>
      <w:i/>
      <w:iCs/>
      <w:sz w:val="22"/>
      <w:szCs w:val="22"/>
    </w:rPr>
  </w:style>
  <w:style w:type="character" w:customStyle="1" w:styleId="48">
    <w:name w:val="Heading 8 Char"/>
    <w:basedOn w:val="35"/>
    <w:qFormat/>
    <w:uiPriority w:val="9"/>
    <w:rPr>
      <w:rFonts w:ascii="Arial" w:hAnsi="Arial" w:eastAsia="Arial" w:cs="Arial"/>
      <w:i/>
      <w:iCs/>
      <w:sz w:val="22"/>
      <w:szCs w:val="22"/>
    </w:rPr>
  </w:style>
  <w:style w:type="character" w:customStyle="1" w:styleId="49">
    <w:name w:val="Heading 9 Char"/>
    <w:basedOn w:val="35"/>
    <w:qFormat/>
    <w:uiPriority w:val="9"/>
    <w:rPr>
      <w:rFonts w:ascii="Arial" w:hAnsi="Arial" w:eastAsia="Arial" w:cs="Arial"/>
      <w:i/>
      <w:iCs/>
      <w:sz w:val="21"/>
      <w:szCs w:val="21"/>
    </w:rPr>
  </w:style>
  <w:style w:type="character" w:customStyle="1" w:styleId="50">
    <w:name w:val="Title Char"/>
    <w:basedOn w:val="35"/>
    <w:qFormat/>
    <w:uiPriority w:val="10"/>
    <w:rPr>
      <w:sz w:val="48"/>
      <w:szCs w:val="48"/>
    </w:rPr>
  </w:style>
  <w:style w:type="character" w:customStyle="1" w:styleId="51">
    <w:name w:val="Subtitle Char"/>
    <w:basedOn w:val="35"/>
    <w:qFormat/>
    <w:uiPriority w:val="11"/>
    <w:rPr>
      <w:sz w:val="24"/>
      <w:szCs w:val="24"/>
    </w:rPr>
  </w:style>
  <w:style w:type="character" w:customStyle="1" w:styleId="52">
    <w:name w:val="Quote Char"/>
    <w:qFormat/>
    <w:uiPriority w:val="29"/>
    <w:rPr>
      <w:i/>
    </w:rPr>
  </w:style>
  <w:style w:type="character" w:customStyle="1" w:styleId="53">
    <w:name w:val="Intense Quote Char"/>
    <w:qFormat/>
    <w:uiPriority w:val="30"/>
    <w:rPr>
      <w:i/>
    </w:rPr>
  </w:style>
  <w:style w:type="character" w:customStyle="1" w:styleId="54">
    <w:name w:val="Header Char"/>
    <w:basedOn w:val="35"/>
    <w:qFormat/>
    <w:uiPriority w:val="99"/>
  </w:style>
  <w:style w:type="character" w:customStyle="1" w:styleId="55">
    <w:name w:val="Caption Char"/>
    <w:qFormat/>
    <w:uiPriority w:val="99"/>
  </w:style>
  <w:style w:type="character" w:customStyle="1" w:styleId="56">
    <w:name w:val="Footnote Text Char"/>
    <w:qFormat/>
    <w:uiPriority w:val="99"/>
    <w:rPr>
      <w:sz w:val="18"/>
    </w:rPr>
  </w:style>
  <w:style w:type="character" w:customStyle="1" w:styleId="57">
    <w:name w:val="Endnote Text Char"/>
    <w:qFormat/>
    <w:uiPriority w:val="99"/>
    <w:rPr>
      <w:sz w:val="20"/>
    </w:rPr>
  </w:style>
  <w:style w:type="character" w:customStyle="1" w:styleId="58">
    <w:name w:val="标题 1 Char"/>
    <w:basedOn w:val="35"/>
    <w:link w:val="3"/>
    <w:qFormat/>
    <w:uiPriority w:val="9"/>
    <w:rPr>
      <w:rFonts w:ascii="Arial" w:hAnsi="Arial" w:eastAsia="Arial" w:cs="Arial"/>
      <w:sz w:val="40"/>
      <w:szCs w:val="40"/>
    </w:rPr>
  </w:style>
  <w:style w:type="character" w:customStyle="1" w:styleId="59">
    <w:name w:val="标题 2 Char"/>
    <w:basedOn w:val="35"/>
    <w:link w:val="2"/>
    <w:qFormat/>
    <w:uiPriority w:val="9"/>
    <w:rPr>
      <w:rFonts w:ascii="Arial" w:hAnsi="Arial" w:eastAsia="Arial" w:cs="Arial"/>
      <w:sz w:val="34"/>
    </w:rPr>
  </w:style>
  <w:style w:type="character" w:customStyle="1" w:styleId="60">
    <w:name w:val="标题 3 Char"/>
    <w:basedOn w:val="35"/>
    <w:link w:val="4"/>
    <w:qFormat/>
    <w:uiPriority w:val="9"/>
    <w:rPr>
      <w:rFonts w:ascii="Arial" w:hAnsi="Arial" w:eastAsia="Arial" w:cs="Arial"/>
      <w:sz w:val="30"/>
      <w:szCs w:val="30"/>
    </w:rPr>
  </w:style>
  <w:style w:type="character" w:customStyle="1" w:styleId="61">
    <w:name w:val="标题 4 Char"/>
    <w:basedOn w:val="35"/>
    <w:link w:val="5"/>
    <w:qFormat/>
    <w:uiPriority w:val="9"/>
    <w:rPr>
      <w:rFonts w:ascii="Arial" w:hAnsi="Arial" w:eastAsia="Arial" w:cs="Arial"/>
      <w:b/>
      <w:bCs/>
      <w:sz w:val="26"/>
      <w:szCs w:val="26"/>
    </w:rPr>
  </w:style>
  <w:style w:type="character" w:customStyle="1" w:styleId="62">
    <w:name w:val="标题 5 Char"/>
    <w:basedOn w:val="35"/>
    <w:link w:val="6"/>
    <w:qFormat/>
    <w:uiPriority w:val="9"/>
    <w:rPr>
      <w:rFonts w:ascii="Arial" w:hAnsi="Arial" w:eastAsia="Arial" w:cs="Arial"/>
      <w:b/>
      <w:bCs/>
      <w:sz w:val="24"/>
      <w:szCs w:val="24"/>
    </w:rPr>
  </w:style>
  <w:style w:type="character" w:customStyle="1" w:styleId="63">
    <w:name w:val="标题 6 Char"/>
    <w:basedOn w:val="35"/>
    <w:link w:val="7"/>
    <w:qFormat/>
    <w:uiPriority w:val="9"/>
    <w:rPr>
      <w:rFonts w:ascii="Arial" w:hAnsi="Arial" w:eastAsia="Arial" w:cs="Arial"/>
      <w:b/>
      <w:bCs/>
      <w:sz w:val="22"/>
      <w:szCs w:val="22"/>
    </w:rPr>
  </w:style>
  <w:style w:type="character" w:customStyle="1" w:styleId="64">
    <w:name w:val="标题 7 Char"/>
    <w:basedOn w:val="35"/>
    <w:link w:val="8"/>
    <w:qFormat/>
    <w:uiPriority w:val="9"/>
    <w:rPr>
      <w:rFonts w:ascii="Arial" w:hAnsi="Arial" w:eastAsia="Arial" w:cs="Arial"/>
      <w:b/>
      <w:bCs/>
      <w:i/>
      <w:iCs/>
      <w:sz w:val="22"/>
      <w:szCs w:val="22"/>
    </w:rPr>
  </w:style>
  <w:style w:type="character" w:customStyle="1" w:styleId="65">
    <w:name w:val="标题 8 Char"/>
    <w:basedOn w:val="35"/>
    <w:link w:val="9"/>
    <w:qFormat/>
    <w:uiPriority w:val="9"/>
    <w:rPr>
      <w:rFonts w:ascii="Arial" w:hAnsi="Arial" w:eastAsia="Arial" w:cs="Arial"/>
      <w:i/>
      <w:iCs/>
      <w:sz w:val="22"/>
      <w:szCs w:val="22"/>
    </w:rPr>
  </w:style>
  <w:style w:type="character" w:customStyle="1" w:styleId="66">
    <w:name w:val="标题 9 Char"/>
    <w:basedOn w:val="35"/>
    <w:link w:val="10"/>
    <w:qFormat/>
    <w:uiPriority w:val="9"/>
    <w:rPr>
      <w:rFonts w:ascii="Arial" w:hAnsi="Arial" w:eastAsia="Arial" w:cs="Arial"/>
      <w:i/>
      <w:iCs/>
      <w:sz w:val="21"/>
      <w:szCs w:val="21"/>
    </w:rPr>
  </w:style>
  <w:style w:type="paragraph" w:styleId="67">
    <w:name w:val="List Paragraph"/>
    <w:basedOn w:val="1"/>
    <w:qFormat/>
    <w:uiPriority w:val="34"/>
    <w:pPr>
      <w:ind w:left="720"/>
      <w:contextualSpacing/>
    </w:pPr>
  </w:style>
  <w:style w:type="paragraph" w:styleId="68">
    <w:name w:val="No Spacing"/>
    <w:qFormat/>
    <w:uiPriority w:val="1"/>
    <w:rPr>
      <w:rFonts w:hint="default" w:asciiTheme="minorHAnsi" w:hAnsiTheme="minorHAnsi" w:eastAsiaTheme="minorEastAsia" w:cstheme="minorBidi"/>
      <w:lang w:val="en-US" w:eastAsia="zh-CN" w:bidi="ar-SA"/>
    </w:rPr>
  </w:style>
  <w:style w:type="character" w:customStyle="1" w:styleId="69">
    <w:name w:val="标题 Char"/>
    <w:basedOn w:val="35"/>
    <w:link w:val="31"/>
    <w:qFormat/>
    <w:uiPriority w:val="10"/>
    <w:rPr>
      <w:sz w:val="48"/>
      <w:szCs w:val="48"/>
    </w:rPr>
  </w:style>
  <w:style w:type="character" w:customStyle="1" w:styleId="70">
    <w:name w:val="副标题 Char"/>
    <w:basedOn w:val="35"/>
    <w:link w:val="25"/>
    <w:qFormat/>
    <w:uiPriority w:val="11"/>
    <w:rPr>
      <w:sz w:val="24"/>
      <w:szCs w:val="24"/>
    </w:rPr>
  </w:style>
  <w:style w:type="paragraph" w:styleId="71">
    <w:name w:val="Quote"/>
    <w:basedOn w:val="1"/>
    <w:next w:val="1"/>
    <w:link w:val="72"/>
    <w:qFormat/>
    <w:uiPriority w:val="29"/>
    <w:pPr>
      <w:ind w:left="720" w:right="720"/>
    </w:pPr>
    <w:rPr>
      <w:i/>
    </w:rPr>
  </w:style>
  <w:style w:type="character" w:customStyle="1" w:styleId="72">
    <w:name w:val="引用 Char"/>
    <w:link w:val="71"/>
    <w:qFormat/>
    <w:uiPriority w:val="29"/>
    <w:rPr>
      <w:i/>
    </w:rPr>
  </w:style>
  <w:style w:type="paragraph" w:styleId="73">
    <w:name w:val="Intense Quote"/>
    <w:basedOn w:val="1"/>
    <w:next w:val="1"/>
    <w:link w:val="7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4">
    <w:name w:val="明显引用 Char"/>
    <w:link w:val="73"/>
    <w:qFormat/>
    <w:uiPriority w:val="30"/>
    <w:rPr>
      <w:i/>
    </w:rPr>
  </w:style>
  <w:style w:type="character" w:customStyle="1" w:styleId="75">
    <w:name w:val="页眉 Char"/>
    <w:basedOn w:val="35"/>
    <w:link w:val="22"/>
    <w:qFormat/>
    <w:uiPriority w:val="99"/>
  </w:style>
  <w:style w:type="character" w:customStyle="1" w:styleId="76">
    <w:name w:val="Footer Char"/>
    <w:basedOn w:val="35"/>
    <w:qFormat/>
    <w:uiPriority w:val="99"/>
  </w:style>
  <w:style w:type="character" w:customStyle="1" w:styleId="77">
    <w:name w:val="页脚 Char"/>
    <w:link w:val="21"/>
    <w:qFormat/>
    <w:uiPriority w:val="99"/>
  </w:style>
  <w:style w:type="table" w:customStyle="1" w:styleId="78">
    <w:name w:val="Table Grid Light"/>
    <w:basedOn w:val="33"/>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9">
    <w:name w:val="Plain Table 1"/>
    <w:basedOn w:val="33"/>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auto"/>
      </w:tcPr>
    </w:tblStylePr>
    <w:tblStylePr w:type="band1Horz">
      <w:tcPr>
        <w:shd w:val="clear" w:color="F1F1F1" w:themeColor="text1" w:themeTint="0D" w:fill="auto"/>
      </w:tcPr>
    </w:tblStylePr>
  </w:style>
  <w:style w:type="table" w:customStyle="1" w:styleId="80">
    <w:name w:val="Plain Table 2"/>
    <w:basedOn w:val="33"/>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1">
    <w:name w:val="Plain Table 3"/>
    <w:basedOn w:val="33"/>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auto"/>
      </w:tcPr>
    </w:tblStylePr>
    <w:tblStylePr w:type="band1Horz">
      <w:rPr>
        <w:rFonts w:ascii="Arial" w:hAnsi="Arial"/>
        <w:color w:val="404040"/>
        <w:sz w:val="22"/>
      </w:rPr>
      <w:tcPr>
        <w:shd w:val="clear" w:color="F1F1F1" w:themeColor="text1" w:themeTint="0D" w:fill="auto"/>
      </w:tcPr>
    </w:tblStylePr>
  </w:style>
  <w:style w:type="table" w:customStyle="1" w:styleId="82">
    <w:name w:val="Plain Table 4"/>
    <w:basedOn w:val="33"/>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auto"/>
      </w:tcPr>
    </w:tblStylePr>
    <w:tblStylePr w:type="band1Horz">
      <w:rPr>
        <w:rFonts w:ascii="Arial" w:hAnsi="Arial"/>
        <w:color w:val="404040"/>
        <w:sz w:val="22"/>
      </w:rPr>
      <w:tcPr>
        <w:shd w:val="clear" w:color="F1F1F1" w:themeColor="text1" w:themeTint="0D" w:fill="auto"/>
      </w:tcPr>
    </w:tblStylePr>
  </w:style>
  <w:style w:type="table" w:customStyle="1" w:styleId="83">
    <w:name w:val="Plain Table 5"/>
    <w:basedOn w:val="33"/>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auto"/>
      </w:tcPr>
    </w:tblStylePr>
    <w:tblStylePr w:type="band1Horz">
      <w:rPr>
        <w:rFonts w:ascii="Arial" w:hAnsi="Arial"/>
        <w:color w:val="404040"/>
        <w:sz w:val="22"/>
      </w:rPr>
      <w:tcPr>
        <w:shd w:val="clear" w:color="F1F1F1" w:themeColor="text1" w:themeTint="0D" w:fill="auto"/>
      </w:tcPr>
    </w:tblStylePr>
  </w:style>
  <w:style w:type="table" w:customStyle="1" w:styleId="84">
    <w:name w:val="Grid Table 1 Light"/>
    <w:basedOn w:val="33"/>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5">
    <w:name w:val="Grid Table 1 Light - Accent 1"/>
    <w:basedOn w:val="33"/>
    <w:qFormat/>
    <w:uiPriority w:val="99"/>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top w:w="0" w:type="dxa"/>
        <w:left w:w="108" w:type="dxa"/>
        <w:bottom w:w="0" w:type="dxa"/>
        <w:right w:w="108" w:type="dxa"/>
      </w:tblCellMar>
    </w:tblPr>
    <w:tblStylePr w:type="firstRow">
      <w:rPr>
        <w:b/>
        <w:color w:val="404040"/>
      </w:rPr>
      <w:tcPr>
        <w:tcBorders>
          <w:bottom w:val="single" w:color="94ADE0"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86">
    <w:name w:val="Grid Table 1 Light - Accent 2"/>
    <w:basedOn w:val="33"/>
    <w:qFormat/>
    <w:uiPriority w:val="99"/>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top w:w="0" w:type="dxa"/>
        <w:left w:w="108" w:type="dxa"/>
        <w:bottom w:w="0" w:type="dxa"/>
        <w:right w:w="108" w:type="dxa"/>
      </w:tblCellMar>
    </w:tblPr>
    <w:tblStylePr w:type="firstRow">
      <w:rPr>
        <w:b/>
        <w:color w:val="404040"/>
      </w:rPr>
      <w:tcPr>
        <w:tcBorders>
          <w:bottom w:val="single" w:color="F5B585"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87">
    <w:name w:val="Grid Table 1 Light - Accent 3"/>
    <w:basedOn w:val="33"/>
    <w:qFormat/>
    <w:uiPriority w:val="99"/>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top w:w="0" w:type="dxa"/>
        <w:left w:w="108" w:type="dxa"/>
        <w:bottom w:w="0" w:type="dxa"/>
        <w:right w:w="108" w:type="dxa"/>
      </w:tblCellMar>
    </w:tblPr>
    <w:tblStylePr w:type="firstRow">
      <w:rPr>
        <w:b/>
        <w:color w:val="404040"/>
      </w:rPr>
      <w:tcPr>
        <w:tcBorders>
          <w:bottom w:val="single" w:color="FDDA64"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88">
    <w:name w:val="Grid Table 1 Light - Accent 4"/>
    <w:basedOn w:val="33"/>
    <w:qFormat/>
    <w:uiPriority w:val="99"/>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top w:w="0" w:type="dxa"/>
        <w:left w:w="108" w:type="dxa"/>
        <w:bottom w:w="0" w:type="dxa"/>
        <w:right w:w="108" w:type="dxa"/>
      </w:tblCellMar>
    </w:tblPr>
    <w:tblStylePr w:type="firstRow">
      <w:rPr>
        <w:b/>
        <w:color w:val="404040"/>
      </w:rPr>
      <w:tcPr>
        <w:tcBorders>
          <w:bottom w:val="single" w:color="AED890"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89">
    <w:name w:val="Grid Table 1 Light - Accent 5"/>
    <w:basedOn w:val="33"/>
    <w:qFormat/>
    <w:uiPriority w:val="99"/>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top w:w="0" w:type="dxa"/>
        <w:left w:w="108" w:type="dxa"/>
        <w:bottom w:w="0" w:type="dxa"/>
        <w:right w:w="108" w:type="dxa"/>
      </w:tblCellMar>
    </w:tblPr>
    <w:tblStylePr w:type="firstRow">
      <w:rPr>
        <w:b/>
        <w:color w:val="404040"/>
      </w:rPr>
      <w:tcPr>
        <w:tcBorders>
          <w:bottom w:val="single" w:color="80DFD7"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90">
    <w:name w:val="Grid Table 1 Light - Accent 6"/>
    <w:basedOn w:val="33"/>
    <w:qFormat/>
    <w:uiPriority w:val="99"/>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top w:w="0" w:type="dxa"/>
        <w:left w:w="108" w:type="dxa"/>
        <w:bottom w:w="0" w:type="dxa"/>
        <w:right w:w="108" w:type="dxa"/>
      </w:tblCellMar>
    </w:tblPr>
    <w:tblStylePr w:type="firstRow">
      <w:rPr>
        <w:b/>
        <w:color w:val="404040"/>
      </w:rPr>
      <w:tcPr>
        <w:tcBorders>
          <w:bottom w:val="single" w:color="EF96A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table" w:customStyle="1" w:styleId="91">
    <w:name w:val="Grid Table 2"/>
    <w:basedOn w:val="3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auto"/>
      </w:tcPr>
    </w:tblStylePr>
    <w:tblStylePr w:type="band1Horz">
      <w:rPr>
        <w:rFonts w:ascii="Arial" w:hAnsi="Arial"/>
        <w:color w:val="404040"/>
        <w:sz w:val="22"/>
      </w:rPr>
      <w:tcPr>
        <w:shd w:val="clear" w:color="CACACA" w:themeColor="text1" w:themeTint="34" w:fill="auto"/>
      </w:tcPr>
    </w:tblStylePr>
  </w:style>
  <w:style w:type="table" w:customStyle="1" w:styleId="92">
    <w:name w:val="Grid Table 2 - Accent 1"/>
    <w:basedOn w:val="33"/>
    <w:qFormat/>
    <w:uiPriority w:val="99"/>
    <w:tblPr>
      <w:tblBorders>
        <w:bottom w:val="single" w:color="577FCF" w:themeColor="accent1" w:themeTint="EA" w:sz="4" w:space="0"/>
        <w:insideH w:val="single" w:color="577FCF" w:themeColor="accent1" w:themeTint="EA" w:sz="4" w:space="0"/>
        <w:insideV w:val="single" w:color="577FCF"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single" w:color="577FCF" w:themeColor="accent1" w:themeTint="EA" w:sz="12" w:space="0"/>
          <w:right w:val="nil"/>
        </w:tcBorders>
        <w:shd w:val="clear" w:color="FFFFFF" w:fill="auto"/>
      </w:tcPr>
    </w:tblStylePr>
    <w:tblStylePr w:type="lastRow">
      <w:rPr>
        <w:b/>
        <w:color w:val="404040"/>
      </w:rPr>
      <w:tcPr>
        <w:tcBorders>
          <w:top w:val="single" w:color="577FCF"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themeColor="accent1" w:themeTint="34" w:fill="auto"/>
      </w:tcPr>
    </w:tblStylePr>
    <w:tblStylePr w:type="band1Horz">
      <w:rPr>
        <w:rFonts w:ascii="Arial" w:hAnsi="Arial"/>
        <w:color w:val="404040"/>
        <w:sz w:val="22"/>
      </w:rPr>
      <w:tcPr>
        <w:shd w:val="clear" w:color="D9E2F4" w:themeColor="accent1" w:themeTint="34" w:fill="auto"/>
      </w:tcPr>
    </w:tblStylePr>
  </w:style>
  <w:style w:type="table" w:customStyle="1" w:styleId="93">
    <w:name w:val="Grid Table 2 - Accent 2"/>
    <w:basedOn w:val="33"/>
    <w:qFormat/>
    <w:uiPriority w:val="99"/>
    <w:tblPr>
      <w:tblBorders>
        <w:bottom w:val="single" w:color="F4B483" w:themeColor="accent2" w:themeTint="97" w:sz="4" w:space="0"/>
        <w:insideH w:val="single" w:color="F4B483" w:themeColor="accent2" w:themeTint="97" w:sz="4" w:space="0"/>
        <w:insideV w:val="single" w:color="F4B483"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single" w:color="F4B483" w:themeColor="accent2" w:themeTint="97" w:sz="12" w:space="0"/>
          <w:right w:val="nil"/>
        </w:tcBorders>
        <w:shd w:val="clear" w:color="FFFFFF" w:fill="auto"/>
      </w:tcPr>
    </w:tblStylePr>
    <w:tblStylePr w:type="lastRow">
      <w:rPr>
        <w:b/>
        <w:color w:val="404040"/>
      </w:rPr>
      <w:tcPr>
        <w:tcBorders>
          <w:top w:val="single" w:color="F4B483"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auto"/>
      </w:tcPr>
    </w:tblStylePr>
    <w:tblStylePr w:type="band1Horz">
      <w:rPr>
        <w:rFonts w:ascii="Arial" w:hAnsi="Arial"/>
        <w:color w:val="404040"/>
        <w:sz w:val="22"/>
      </w:rPr>
      <w:tcPr>
        <w:shd w:val="clear" w:color="FBE6D6" w:themeColor="accent2" w:themeTint="32" w:fill="auto"/>
      </w:tcPr>
    </w:tblStylePr>
  </w:style>
  <w:style w:type="table" w:customStyle="1" w:styleId="94">
    <w:name w:val="Grid Table 2 - Accent 3"/>
    <w:basedOn w:val="33"/>
    <w:qFormat/>
    <w:uiPriority w:val="99"/>
    <w:tblPr>
      <w:tblBorders>
        <w:bottom w:val="single" w:color="F3BA02" w:themeColor="accent3" w:themeTint="FE" w:sz="4" w:space="0"/>
        <w:insideH w:val="single" w:color="F3BA02" w:themeColor="accent3" w:themeTint="FE" w:sz="4" w:space="0"/>
        <w:insideV w:val="single" w:color="F3BA02"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single" w:color="F3BA02" w:themeColor="accent3" w:themeTint="FE" w:sz="12" w:space="0"/>
          <w:right w:val="nil"/>
        </w:tcBorders>
        <w:shd w:val="clear" w:color="FFFFFF" w:fill="auto"/>
      </w:tcPr>
    </w:tblStylePr>
    <w:tblStylePr w:type="lastRow">
      <w:rPr>
        <w:b/>
        <w:color w:val="404040"/>
      </w:rPr>
      <w:tcPr>
        <w:tcBorders>
          <w:top w:val="single" w:color="F3BA02"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auto"/>
      </w:tcPr>
    </w:tblStylePr>
    <w:tblStylePr w:type="band1Horz">
      <w:rPr>
        <w:rFonts w:ascii="Arial" w:hAnsi="Arial"/>
        <w:color w:val="404040"/>
        <w:sz w:val="22"/>
      </w:rPr>
      <w:tcPr>
        <w:shd w:val="clear" w:color="FEF2C9" w:themeColor="accent3" w:themeTint="34" w:fill="auto"/>
      </w:tcPr>
    </w:tblStylePr>
  </w:style>
  <w:style w:type="table" w:customStyle="1" w:styleId="95">
    <w:name w:val="Grid Table 2 - Accent 4"/>
    <w:basedOn w:val="33"/>
    <w:qFormat/>
    <w:uiPriority w:val="99"/>
    <w:tblPr>
      <w:tblBorders>
        <w:bottom w:val="single" w:color="ABD78C" w:themeColor="accent4" w:themeTint="9A" w:sz="4" w:space="0"/>
        <w:insideH w:val="single" w:color="ABD78C" w:themeColor="accent4" w:themeTint="9A" w:sz="4" w:space="0"/>
        <w:insideV w:val="single" w:color="ABD78C"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single" w:color="ABD78C" w:themeColor="accent4" w:themeTint="9A" w:sz="12" w:space="0"/>
          <w:right w:val="nil"/>
        </w:tcBorders>
        <w:shd w:val="clear" w:color="FFFFFF" w:fill="auto"/>
      </w:tcPr>
    </w:tblStylePr>
    <w:tblStylePr w:type="lastRow">
      <w:rPr>
        <w:b/>
        <w:color w:val="404040"/>
      </w:rPr>
      <w:tcPr>
        <w:tcBorders>
          <w:top w:val="single" w:color="ABD78C"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auto"/>
      </w:tcPr>
    </w:tblStylePr>
    <w:tblStylePr w:type="band1Horz">
      <w:rPr>
        <w:rFonts w:ascii="Arial" w:hAnsi="Arial"/>
        <w:color w:val="404040"/>
        <w:sz w:val="22"/>
      </w:rPr>
      <w:tcPr>
        <w:shd w:val="clear" w:color="E2F1D8" w:themeColor="accent4" w:themeTint="34" w:fill="auto"/>
      </w:tcPr>
    </w:tblStylePr>
  </w:style>
  <w:style w:type="table" w:customStyle="1" w:styleId="96">
    <w:name w:val="Grid Table 2 - Accent 5"/>
    <w:basedOn w:val="33"/>
    <w:qFormat/>
    <w:uiPriority w:val="99"/>
    <w:tblPr>
      <w:tblBorders>
        <w:bottom w:val="single" w:color="30C0B4" w:themeColor="accent5" w:sz="4" w:space="0"/>
        <w:insideH w:val="single" w:color="30C0B4" w:themeColor="accent5" w:sz="4" w:space="0"/>
        <w:insideV w:val="single" w:color="30C0B4" w:themeColor="accent5" w:sz="4" w:space="0"/>
      </w:tblBorders>
      <w:tblCellMar>
        <w:top w:w="0" w:type="dxa"/>
        <w:left w:w="108" w:type="dxa"/>
        <w:bottom w:w="0" w:type="dxa"/>
        <w:right w:w="108" w:type="dxa"/>
      </w:tblCellMar>
    </w:tblPr>
    <w:tblStylePr w:type="firstRow">
      <w:rPr>
        <w:b/>
        <w:color w:val="404040"/>
      </w:rPr>
      <w:tcPr>
        <w:tcBorders>
          <w:top w:val="nil"/>
          <w:left w:val="nil"/>
          <w:bottom w:val="single" w:color="30C0B4" w:themeColor="accent5" w:sz="12" w:space="0"/>
          <w:right w:val="nil"/>
        </w:tcBorders>
        <w:shd w:val="clear" w:color="FFFFFF" w:fill="auto"/>
      </w:tcPr>
    </w:tblStylePr>
    <w:tblStylePr w:type="lastRow">
      <w:rPr>
        <w:b/>
        <w:color w:val="404040"/>
      </w:rPr>
      <w:tcPr>
        <w:tcBorders>
          <w:top w:val="single" w:color="30C0B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auto"/>
      </w:tcPr>
    </w:tblStylePr>
    <w:tblStylePr w:type="band1Horz">
      <w:rPr>
        <w:rFonts w:ascii="Arial" w:hAnsi="Arial"/>
        <w:color w:val="404040"/>
        <w:sz w:val="22"/>
      </w:rPr>
      <w:tcPr>
        <w:shd w:val="clear" w:color="D2F3F1" w:themeColor="accent5" w:themeTint="34" w:fill="auto"/>
      </w:tcPr>
    </w:tblStylePr>
  </w:style>
  <w:style w:type="table" w:customStyle="1" w:styleId="97">
    <w:name w:val="Grid Table 2 - Accent 6"/>
    <w:basedOn w:val="33"/>
    <w:qFormat/>
    <w:uiPriority w:val="99"/>
    <w:tblPr>
      <w:tblBorders>
        <w:bottom w:val="single" w:color="E54C5E" w:themeColor="accent6" w:sz="4" w:space="0"/>
        <w:insideH w:val="single" w:color="E54C5E" w:themeColor="accent6" w:sz="4" w:space="0"/>
        <w:insideV w:val="single" w:color="E54C5E" w:themeColor="accent6" w:sz="4" w:space="0"/>
      </w:tblBorders>
      <w:tblCellMar>
        <w:top w:w="0" w:type="dxa"/>
        <w:left w:w="108" w:type="dxa"/>
        <w:bottom w:w="0" w:type="dxa"/>
        <w:right w:w="108" w:type="dxa"/>
      </w:tblCellMar>
    </w:tblPr>
    <w:tblStylePr w:type="firstRow">
      <w:rPr>
        <w:b/>
        <w:color w:val="404040"/>
      </w:rPr>
      <w:tcPr>
        <w:tcBorders>
          <w:top w:val="nil"/>
          <w:left w:val="nil"/>
          <w:bottom w:val="single" w:color="E54C5E" w:themeColor="accent6" w:sz="12" w:space="0"/>
          <w:right w:val="nil"/>
        </w:tcBorders>
        <w:shd w:val="clear" w:color="FFFFFF" w:fill="auto"/>
      </w:tcPr>
    </w:tblStylePr>
    <w:tblStylePr w:type="lastRow">
      <w:rPr>
        <w:b/>
        <w:color w:val="404040"/>
      </w:rPr>
      <w:tcPr>
        <w:tcBorders>
          <w:top w:val="single" w:color="E54C5E"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auto"/>
      </w:tcPr>
    </w:tblStylePr>
    <w:tblStylePr w:type="band1Horz">
      <w:rPr>
        <w:rFonts w:ascii="Arial" w:hAnsi="Arial"/>
        <w:color w:val="404040"/>
        <w:sz w:val="22"/>
      </w:rPr>
      <w:tcPr>
        <w:shd w:val="clear" w:color="F9DADE" w:themeColor="accent6" w:themeTint="34" w:fill="auto"/>
      </w:tcPr>
    </w:tblStylePr>
  </w:style>
  <w:style w:type="table" w:customStyle="1" w:styleId="98">
    <w:name w:val="Grid Table 3"/>
    <w:basedOn w:val="3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auto"/>
      </w:tcPr>
    </w:tblStylePr>
    <w:tblStylePr w:type="band1Horz">
      <w:rPr>
        <w:rFonts w:ascii="Arial" w:hAnsi="Arial"/>
        <w:color w:val="404040"/>
        <w:sz w:val="22"/>
      </w:rPr>
      <w:tcPr>
        <w:shd w:val="clear" w:color="CACACA" w:themeColor="text1" w:themeTint="34" w:fill="auto"/>
      </w:tcPr>
    </w:tblStylePr>
  </w:style>
  <w:style w:type="table" w:customStyle="1" w:styleId="99">
    <w:name w:val="Grid Table 3 - Accent 1"/>
    <w:basedOn w:val="33"/>
    <w:qFormat/>
    <w:uiPriority w:val="99"/>
    <w:tblPr>
      <w:tblBorders>
        <w:bottom w:val="single" w:color="577FCF" w:themeColor="accent1" w:themeTint="EA" w:sz="4" w:space="0"/>
        <w:insideH w:val="single" w:color="577FCF" w:themeColor="accent1" w:themeTint="EA" w:sz="4" w:space="0"/>
        <w:insideV w:val="single" w:color="577FCF"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9E2F4" w:themeColor="accent1" w:themeTint="34" w:fill="auto"/>
      </w:tcPr>
    </w:tblStylePr>
    <w:tblStylePr w:type="band1Horz">
      <w:rPr>
        <w:rFonts w:ascii="Arial" w:hAnsi="Arial"/>
        <w:color w:val="404040"/>
        <w:sz w:val="22"/>
      </w:rPr>
      <w:tcPr>
        <w:shd w:val="clear" w:color="D9E2F4" w:themeColor="accent1" w:themeTint="34" w:fill="auto"/>
      </w:tcPr>
    </w:tblStylePr>
  </w:style>
  <w:style w:type="table" w:customStyle="1" w:styleId="100">
    <w:name w:val="Grid Table 3 - Accent 2"/>
    <w:basedOn w:val="33"/>
    <w:qFormat/>
    <w:uiPriority w:val="99"/>
    <w:tblPr>
      <w:tblBorders>
        <w:bottom w:val="single" w:color="F4B483" w:themeColor="accent2" w:themeTint="97" w:sz="4" w:space="0"/>
        <w:insideH w:val="single" w:color="F4B483" w:themeColor="accent2" w:themeTint="97" w:sz="4" w:space="0"/>
        <w:insideV w:val="single" w:color="F4B483"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6D6" w:themeColor="accent2" w:themeTint="32" w:fill="auto"/>
      </w:tcPr>
    </w:tblStylePr>
    <w:tblStylePr w:type="band1Horz">
      <w:rPr>
        <w:rFonts w:ascii="Arial" w:hAnsi="Arial"/>
        <w:color w:val="404040"/>
        <w:sz w:val="22"/>
      </w:rPr>
      <w:tcPr>
        <w:shd w:val="clear" w:color="FBE6D6" w:themeColor="accent2" w:themeTint="32" w:fill="auto"/>
      </w:tcPr>
    </w:tblStylePr>
  </w:style>
  <w:style w:type="table" w:customStyle="1" w:styleId="101">
    <w:name w:val="Grid Table 3 - Accent 3"/>
    <w:basedOn w:val="33"/>
    <w:qFormat/>
    <w:uiPriority w:val="99"/>
    <w:tblPr>
      <w:tblBorders>
        <w:bottom w:val="single" w:color="F3BA02" w:themeColor="accent3" w:themeTint="FE" w:sz="4" w:space="0"/>
        <w:insideH w:val="single" w:color="F3BA02" w:themeColor="accent3" w:themeTint="FE" w:sz="4" w:space="0"/>
        <w:insideV w:val="single" w:color="F3BA02"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9" w:themeColor="accent3" w:themeTint="34" w:fill="auto"/>
      </w:tcPr>
    </w:tblStylePr>
    <w:tblStylePr w:type="band1Horz">
      <w:rPr>
        <w:rFonts w:ascii="Arial" w:hAnsi="Arial"/>
        <w:color w:val="404040"/>
        <w:sz w:val="22"/>
      </w:rPr>
      <w:tcPr>
        <w:shd w:val="clear" w:color="FEF2C9" w:themeColor="accent3" w:themeTint="34" w:fill="auto"/>
      </w:tcPr>
    </w:tblStylePr>
  </w:style>
  <w:style w:type="table" w:customStyle="1" w:styleId="102">
    <w:name w:val="Grid Table 3 - Accent 4"/>
    <w:basedOn w:val="33"/>
    <w:qFormat/>
    <w:uiPriority w:val="99"/>
    <w:tblPr>
      <w:tblBorders>
        <w:bottom w:val="single" w:color="ABD78C" w:themeColor="accent4" w:themeTint="9A" w:sz="4" w:space="0"/>
        <w:insideH w:val="single" w:color="ABD78C" w:themeColor="accent4" w:themeTint="9A" w:sz="4" w:space="0"/>
        <w:insideV w:val="single" w:color="ABD78C"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2F1D8" w:themeColor="accent4" w:themeTint="34" w:fill="auto"/>
      </w:tcPr>
    </w:tblStylePr>
    <w:tblStylePr w:type="band1Horz">
      <w:rPr>
        <w:rFonts w:ascii="Arial" w:hAnsi="Arial"/>
        <w:color w:val="404040"/>
        <w:sz w:val="22"/>
      </w:rPr>
      <w:tcPr>
        <w:shd w:val="clear" w:color="E2F1D8" w:themeColor="accent4" w:themeTint="34" w:fill="auto"/>
      </w:tcPr>
    </w:tblStylePr>
  </w:style>
  <w:style w:type="table" w:customStyle="1" w:styleId="103">
    <w:name w:val="Grid Table 3 - Accent 5"/>
    <w:basedOn w:val="33"/>
    <w:qFormat/>
    <w:uiPriority w:val="99"/>
    <w:tblPr>
      <w:tblBorders>
        <w:bottom w:val="single" w:color="30C0B4" w:themeColor="accent5" w:sz="4" w:space="0"/>
        <w:insideH w:val="single" w:color="30C0B4" w:themeColor="accent5" w:sz="4" w:space="0"/>
        <w:insideV w:val="single" w:color="30C0B4" w:themeColor="accent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2F3F1" w:themeColor="accent5" w:themeTint="34" w:fill="auto"/>
      </w:tcPr>
    </w:tblStylePr>
    <w:tblStylePr w:type="band1Horz">
      <w:rPr>
        <w:rFonts w:ascii="Arial" w:hAnsi="Arial"/>
        <w:color w:val="404040"/>
        <w:sz w:val="22"/>
      </w:rPr>
      <w:tcPr>
        <w:shd w:val="clear" w:color="D2F3F1" w:themeColor="accent5" w:themeTint="34" w:fill="auto"/>
      </w:tcPr>
    </w:tblStylePr>
  </w:style>
  <w:style w:type="table" w:customStyle="1" w:styleId="104">
    <w:name w:val="Grid Table 3 - Accent 6"/>
    <w:basedOn w:val="33"/>
    <w:qFormat/>
    <w:uiPriority w:val="99"/>
    <w:tblPr>
      <w:tblBorders>
        <w:bottom w:val="single" w:color="E54C5E" w:themeColor="accent6" w:sz="4" w:space="0"/>
        <w:insideH w:val="single" w:color="E54C5E" w:themeColor="accent6" w:sz="4" w:space="0"/>
        <w:insideV w:val="single" w:color="E54C5E" w:themeColor="accent6"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9DADE" w:themeColor="accent6" w:themeTint="34" w:fill="auto"/>
      </w:tcPr>
    </w:tblStylePr>
    <w:tblStylePr w:type="band1Horz">
      <w:rPr>
        <w:rFonts w:ascii="Arial" w:hAnsi="Arial"/>
        <w:color w:val="404040"/>
        <w:sz w:val="22"/>
      </w:rPr>
      <w:tcPr>
        <w:shd w:val="clear" w:color="F9DADE" w:themeColor="accent6" w:themeTint="34" w:fill="auto"/>
      </w:tcPr>
    </w:tblStylePr>
  </w:style>
  <w:style w:type="table" w:customStyle="1" w:styleId="105">
    <w:name w:val="Grid Table 4"/>
    <w:basedOn w:val="33"/>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auto"/>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auto"/>
      </w:tcPr>
    </w:tblStylePr>
    <w:tblStylePr w:type="band1Horz">
      <w:rPr>
        <w:rFonts w:ascii="Arial" w:hAnsi="Arial"/>
        <w:color w:val="404040"/>
        <w:sz w:val="22"/>
      </w:rPr>
      <w:tcPr>
        <w:shd w:val="clear" w:color="CACACA" w:themeColor="text1" w:themeTint="34" w:fill="auto"/>
      </w:tcPr>
    </w:tblStylePr>
  </w:style>
  <w:style w:type="table" w:customStyle="1" w:styleId="106">
    <w:name w:val="Grid Table 4 - Accent 1"/>
    <w:basedOn w:val="33"/>
    <w:qFormat/>
    <w:uiPriority w:val="59"/>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shd w:val="clear" w:color="577FCF" w:themeColor="accent1" w:themeTint="EA" w:fill="auto"/>
      </w:tcPr>
    </w:tblStylePr>
    <w:tblStylePr w:type="lastRow">
      <w:rPr>
        <w:b/>
        <w:color w:val="404040"/>
      </w:rPr>
      <w:tcPr>
        <w:tcBorders>
          <w:top w:val="single" w:color="577FCF"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3F4" w:themeColor="accent1" w:themeTint="32" w:fill="auto"/>
      </w:tcPr>
    </w:tblStylePr>
    <w:tblStylePr w:type="band1Horz">
      <w:rPr>
        <w:rFonts w:ascii="Arial" w:hAnsi="Arial"/>
        <w:color w:val="404040"/>
        <w:sz w:val="22"/>
      </w:rPr>
      <w:tcPr>
        <w:shd w:val="clear" w:color="DBE3F4" w:themeColor="accent1" w:themeTint="32" w:fill="auto"/>
      </w:tcPr>
    </w:tblStylePr>
  </w:style>
  <w:style w:type="table" w:customStyle="1" w:styleId="107">
    <w:name w:val="Grid Table 4 - Accent 2"/>
    <w:basedOn w:val="33"/>
    <w:qFormat/>
    <w:uiPriority w:val="59"/>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shd w:val="clear" w:color="F4B483" w:themeColor="accent2" w:themeTint="97" w:fill="auto"/>
      </w:tcPr>
    </w:tblStylePr>
    <w:tblStylePr w:type="lastRow">
      <w:rPr>
        <w:b/>
        <w:color w:val="404040"/>
      </w:rPr>
      <w:tcPr>
        <w:tcBorders>
          <w:top w:val="single" w:color="F4B483"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auto"/>
      </w:tcPr>
    </w:tblStylePr>
    <w:tblStylePr w:type="band1Horz">
      <w:rPr>
        <w:rFonts w:ascii="Arial" w:hAnsi="Arial"/>
        <w:color w:val="404040"/>
        <w:sz w:val="22"/>
      </w:rPr>
      <w:tcPr>
        <w:shd w:val="clear" w:color="FBE6D6" w:themeColor="accent2" w:themeTint="32" w:fill="auto"/>
      </w:tcPr>
    </w:tblStylePr>
  </w:style>
  <w:style w:type="table" w:customStyle="1" w:styleId="108">
    <w:name w:val="Grid Table 4 - Accent 3"/>
    <w:basedOn w:val="33"/>
    <w:qFormat/>
    <w:uiPriority w:val="59"/>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shd w:val="clear" w:color="F3BA02" w:themeColor="accent3" w:themeTint="FE" w:fill="auto"/>
      </w:tcPr>
    </w:tblStylePr>
    <w:tblStylePr w:type="lastRow">
      <w:rPr>
        <w:b/>
        <w:color w:val="404040"/>
      </w:rPr>
      <w:tcPr>
        <w:tcBorders>
          <w:top w:val="single" w:color="F3BA02"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auto"/>
      </w:tcPr>
    </w:tblStylePr>
    <w:tblStylePr w:type="band1Horz">
      <w:rPr>
        <w:rFonts w:ascii="Arial" w:hAnsi="Arial"/>
        <w:color w:val="404040"/>
        <w:sz w:val="22"/>
      </w:rPr>
      <w:tcPr>
        <w:shd w:val="clear" w:color="FEF2C9" w:themeColor="accent3" w:themeTint="34" w:fill="auto"/>
      </w:tcPr>
    </w:tblStylePr>
  </w:style>
  <w:style w:type="table" w:customStyle="1" w:styleId="109">
    <w:name w:val="Grid Table 4 - Accent 4"/>
    <w:basedOn w:val="33"/>
    <w:qFormat/>
    <w:uiPriority w:val="59"/>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shd w:val="clear" w:color="ABD78C" w:themeColor="accent4" w:themeTint="9A" w:fill="auto"/>
      </w:tcPr>
    </w:tblStylePr>
    <w:tblStylePr w:type="lastRow">
      <w:rPr>
        <w:b/>
        <w:color w:val="404040"/>
      </w:rPr>
      <w:tcPr>
        <w:tcBorders>
          <w:top w:val="single" w:color="ABD78C"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auto"/>
      </w:tcPr>
    </w:tblStylePr>
    <w:tblStylePr w:type="band1Horz">
      <w:rPr>
        <w:rFonts w:ascii="Arial" w:hAnsi="Arial"/>
        <w:color w:val="404040"/>
        <w:sz w:val="22"/>
      </w:rPr>
      <w:tcPr>
        <w:shd w:val="clear" w:color="E2F1D8" w:themeColor="accent4" w:themeTint="34" w:fill="auto"/>
      </w:tcPr>
    </w:tblStylePr>
  </w:style>
  <w:style w:type="table" w:customStyle="1" w:styleId="110">
    <w:name w:val="Grid Table 4 - Accent 5"/>
    <w:basedOn w:val="33"/>
    <w:qFormat/>
    <w:uiPriority w:val="59"/>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30C0B4" w:themeColor="accent5" w:sz="4" w:space="0"/>
          <w:left w:val="single" w:color="30C0B4" w:themeColor="accent5" w:sz="4" w:space="0"/>
          <w:bottom w:val="single" w:color="30C0B4" w:themeColor="accent5" w:sz="4" w:space="0"/>
          <w:right w:val="single" w:color="30C0B4" w:themeColor="accent5" w:sz="4" w:space="0"/>
        </w:tcBorders>
        <w:shd w:val="clear" w:color="30C0B4" w:themeColor="accent5" w:fill="auto"/>
      </w:tcPr>
    </w:tblStylePr>
    <w:tblStylePr w:type="lastRow">
      <w:rPr>
        <w:b/>
        <w:color w:val="404040"/>
      </w:rPr>
      <w:tcPr>
        <w:tcBorders>
          <w:top w:val="single" w:color="30C0B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auto"/>
      </w:tcPr>
    </w:tblStylePr>
    <w:tblStylePr w:type="band1Horz">
      <w:rPr>
        <w:rFonts w:ascii="Arial" w:hAnsi="Arial"/>
        <w:color w:val="404040"/>
        <w:sz w:val="22"/>
      </w:rPr>
      <w:tcPr>
        <w:shd w:val="clear" w:color="D2F3F1" w:themeColor="accent5" w:themeTint="34" w:fill="auto"/>
      </w:tcPr>
    </w:tblStylePr>
  </w:style>
  <w:style w:type="table" w:customStyle="1" w:styleId="111">
    <w:name w:val="Grid Table 4 - Accent 6"/>
    <w:basedOn w:val="33"/>
    <w:qFormat/>
    <w:uiPriority w:val="59"/>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E54C5E" w:themeColor="accent6" w:sz="4" w:space="0"/>
          <w:left w:val="single" w:color="E54C5E" w:themeColor="accent6" w:sz="4" w:space="0"/>
          <w:bottom w:val="single" w:color="E54C5E" w:themeColor="accent6" w:sz="4" w:space="0"/>
          <w:right w:val="single" w:color="E54C5E" w:themeColor="accent6" w:sz="4" w:space="0"/>
        </w:tcBorders>
        <w:shd w:val="clear" w:color="E54C5E" w:themeColor="accent6" w:fill="auto"/>
      </w:tcPr>
    </w:tblStylePr>
    <w:tblStylePr w:type="lastRow">
      <w:rPr>
        <w:b/>
        <w:color w:val="404040"/>
      </w:rPr>
      <w:tcPr>
        <w:tcBorders>
          <w:top w:val="single" w:color="E54C5E"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auto"/>
      </w:tcPr>
    </w:tblStylePr>
    <w:tblStylePr w:type="band1Horz">
      <w:rPr>
        <w:rFonts w:ascii="Arial" w:hAnsi="Arial"/>
        <w:color w:val="404040"/>
        <w:sz w:val="22"/>
      </w:rPr>
      <w:tcPr>
        <w:shd w:val="clear" w:color="F9DADE" w:themeColor="accent6" w:themeTint="34" w:fill="auto"/>
      </w:tcPr>
    </w:tblStylePr>
  </w:style>
  <w:style w:type="table" w:customStyle="1" w:styleId="112">
    <w:name w:val="Grid Table 5 Dark"/>
    <w:basedOn w:val="3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auto"/>
      </w:tcPr>
    </w:tblStylePr>
    <w:tblStylePr w:type="lastRow">
      <w:rPr>
        <w:rFonts w:ascii="Arial" w:hAnsi="Arial"/>
        <w:b/>
        <w:color w:val="FFFFFF"/>
        <w:sz w:val="22"/>
      </w:rPr>
      <w:tcPr>
        <w:tcBorders>
          <w:top w:val="single" w:color="FFFFFF" w:themeColor="light1" w:sz="4" w:space="0"/>
        </w:tcBorders>
        <w:shd w:val="clear" w:color="000000" w:themeColor="text1" w:fill="auto"/>
      </w:tcPr>
    </w:tblStylePr>
    <w:tblStylePr w:type="firstCol">
      <w:rPr>
        <w:rFonts w:ascii="Arial" w:hAnsi="Arial"/>
        <w:b/>
        <w:color w:val="FFFFFF"/>
        <w:sz w:val="22"/>
      </w:rPr>
      <w:tcPr>
        <w:shd w:val="clear" w:color="000000" w:themeColor="text1" w:fill="auto"/>
      </w:tcPr>
    </w:tblStylePr>
    <w:tblStylePr w:type="lastCol">
      <w:rPr>
        <w:rFonts w:ascii="Arial" w:hAnsi="Arial"/>
        <w:b/>
        <w:color w:val="FFFFFF"/>
        <w:sz w:val="22"/>
      </w:rPr>
      <w:tcPr>
        <w:shd w:val="clear" w:color="000000" w:themeColor="text1" w:fill="auto"/>
      </w:tcPr>
    </w:tblStylePr>
    <w:tblStylePr w:type="band1Vert">
      <w:tcPr>
        <w:shd w:val="clear" w:color="898989" w:themeColor="text1" w:themeTint="75" w:fill="auto"/>
      </w:tcPr>
    </w:tblStylePr>
    <w:tblStylePr w:type="band1Horz">
      <w:tcPr>
        <w:shd w:val="clear" w:color="898989" w:themeColor="text1" w:themeTint="75" w:fill="auto"/>
      </w:tcPr>
    </w:tblStylePr>
  </w:style>
  <w:style w:type="table" w:customStyle="1" w:styleId="113">
    <w:name w:val="Grid Table 5 Dark- Accent 1"/>
    <w:basedOn w:val="3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874CB" w:themeColor="accent1" w:fill="auto"/>
      </w:tcPr>
    </w:tblStylePr>
    <w:tblStylePr w:type="lastRow">
      <w:rPr>
        <w:rFonts w:ascii="Arial" w:hAnsi="Arial"/>
        <w:b/>
        <w:color w:val="FFFFFF"/>
        <w:sz w:val="22"/>
      </w:rPr>
      <w:tcPr>
        <w:tcBorders>
          <w:top w:val="single" w:color="FFFFFF" w:themeColor="light1" w:sz="4" w:space="0"/>
        </w:tcBorders>
        <w:shd w:val="clear" w:color="4874CB" w:themeColor="accent1" w:fill="auto"/>
      </w:tcPr>
    </w:tblStylePr>
    <w:tblStylePr w:type="firstCol">
      <w:rPr>
        <w:rFonts w:ascii="Arial" w:hAnsi="Arial"/>
        <w:b/>
        <w:color w:val="FFFFFF"/>
        <w:sz w:val="22"/>
      </w:rPr>
      <w:tcPr>
        <w:shd w:val="clear" w:color="4874CB" w:themeColor="accent1" w:fill="auto"/>
      </w:tcPr>
    </w:tblStylePr>
    <w:tblStylePr w:type="lastCol">
      <w:rPr>
        <w:rFonts w:ascii="Arial" w:hAnsi="Arial"/>
        <w:b/>
        <w:color w:val="FFFFFF"/>
        <w:sz w:val="22"/>
      </w:rPr>
      <w:tcPr>
        <w:shd w:val="clear" w:color="4874CB" w:themeColor="accent1" w:fill="auto"/>
      </w:tcPr>
    </w:tblStylePr>
    <w:tblStylePr w:type="band1Vert">
      <w:tcPr>
        <w:shd w:val="clear" w:color="ABBFE7" w:themeColor="accent1" w:themeTint="75" w:fill="auto"/>
      </w:tcPr>
    </w:tblStylePr>
    <w:tblStylePr w:type="band1Horz">
      <w:tcPr>
        <w:shd w:val="clear" w:color="ABBFE7" w:themeColor="accent1" w:themeTint="75" w:fill="auto"/>
      </w:tcPr>
    </w:tblStylePr>
  </w:style>
  <w:style w:type="table" w:customStyle="1" w:styleId="114">
    <w:name w:val="Grid Table 5 Dark - Accent 2"/>
    <w:basedOn w:val="3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EE822F" w:themeColor="accent2" w:fill="auto"/>
      </w:tcPr>
    </w:tblStylePr>
    <w:tblStylePr w:type="lastRow">
      <w:rPr>
        <w:rFonts w:ascii="Arial" w:hAnsi="Arial"/>
        <w:b/>
        <w:color w:val="FFFFFF"/>
        <w:sz w:val="22"/>
      </w:rPr>
      <w:tcPr>
        <w:tcBorders>
          <w:top w:val="single" w:color="FFFFFF" w:themeColor="light1" w:sz="4" w:space="0"/>
        </w:tcBorders>
        <w:shd w:val="clear" w:color="EE822F" w:themeColor="accent2" w:fill="auto"/>
      </w:tcPr>
    </w:tblStylePr>
    <w:tblStylePr w:type="firstCol">
      <w:rPr>
        <w:rFonts w:ascii="Arial" w:hAnsi="Arial"/>
        <w:b/>
        <w:color w:val="FFFFFF"/>
        <w:sz w:val="22"/>
      </w:rPr>
      <w:tcPr>
        <w:shd w:val="clear" w:color="EE822F" w:themeColor="accent2" w:fill="auto"/>
      </w:tcPr>
    </w:tblStylePr>
    <w:tblStylePr w:type="lastCol">
      <w:rPr>
        <w:rFonts w:ascii="Arial" w:hAnsi="Arial"/>
        <w:b/>
        <w:color w:val="FFFFFF"/>
        <w:sz w:val="22"/>
      </w:rPr>
      <w:tcPr>
        <w:shd w:val="clear" w:color="EE822F" w:themeColor="accent2" w:fill="auto"/>
      </w:tcPr>
    </w:tblStylePr>
    <w:tblStylePr w:type="band1Vert">
      <w:tcPr>
        <w:shd w:val="clear" w:color="F7C59F" w:themeColor="accent2" w:themeTint="75" w:fill="auto"/>
      </w:tcPr>
    </w:tblStylePr>
    <w:tblStylePr w:type="band1Horz">
      <w:tcPr>
        <w:shd w:val="clear" w:color="F7C59F" w:themeColor="accent2" w:themeTint="75" w:fill="auto"/>
      </w:tcPr>
    </w:tblStylePr>
  </w:style>
  <w:style w:type="table" w:customStyle="1" w:styleId="115">
    <w:name w:val="Grid Table 5 Dark - Accent 3"/>
    <w:basedOn w:val="3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F2BA02" w:themeColor="accent3" w:fill="auto"/>
      </w:tcPr>
    </w:tblStylePr>
    <w:tblStylePr w:type="lastRow">
      <w:rPr>
        <w:rFonts w:ascii="Arial" w:hAnsi="Arial"/>
        <w:b/>
        <w:color w:val="FFFFFF"/>
        <w:sz w:val="22"/>
      </w:rPr>
      <w:tcPr>
        <w:tcBorders>
          <w:top w:val="single" w:color="FFFFFF" w:themeColor="light1" w:sz="4" w:space="0"/>
        </w:tcBorders>
        <w:shd w:val="clear" w:color="F2BA02" w:themeColor="accent3" w:fill="auto"/>
      </w:tcPr>
    </w:tblStylePr>
    <w:tblStylePr w:type="firstCol">
      <w:rPr>
        <w:rFonts w:ascii="Arial" w:hAnsi="Arial"/>
        <w:b/>
        <w:color w:val="FFFFFF"/>
        <w:sz w:val="22"/>
      </w:rPr>
      <w:tcPr>
        <w:shd w:val="clear" w:color="F2BA02" w:themeColor="accent3" w:fill="auto"/>
      </w:tcPr>
    </w:tblStylePr>
    <w:tblStylePr w:type="lastCol">
      <w:rPr>
        <w:rFonts w:ascii="Arial" w:hAnsi="Arial"/>
        <w:b/>
        <w:color w:val="FFFFFF"/>
        <w:sz w:val="22"/>
      </w:rPr>
      <w:tcPr>
        <w:shd w:val="clear" w:color="F2BA02" w:themeColor="accent3" w:fill="auto"/>
      </w:tcPr>
    </w:tblStylePr>
    <w:tblStylePr w:type="band1Vert">
      <w:tcPr>
        <w:shd w:val="clear" w:color="FDE185" w:themeColor="accent3" w:themeTint="75" w:fill="auto"/>
      </w:tcPr>
    </w:tblStylePr>
    <w:tblStylePr w:type="band1Horz">
      <w:tcPr>
        <w:shd w:val="clear" w:color="FDE185" w:themeColor="accent3" w:themeTint="75" w:fill="auto"/>
      </w:tcPr>
    </w:tblStylePr>
  </w:style>
  <w:style w:type="table" w:customStyle="1" w:styleId="116">
    <w:name w:val="Grid Table 5 Dark- Accent 4"/>
    <w:basedOn w:val="3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75BD42" w:themeColor="accent4" w:fill="auto"/>
      </w:tcPr>
    </w:tblStylePr>
    <w:tblStylePr w:type="lastRow">
      <w:rPr>
        <w:rFonts w:ascii="Arial" w:hAnsi="Arial"/>
        <w:b/>
        <w:color w:val="FFFFFF"/>
        <w:sz w:val="22"/>
      </w:rPr>
      <w:tcPr>
        <w:tcBorders>
          <w:top w:val="single" w:color="FFFFFF" w:themeColor="light1" w:sz="4" w:space="0"/>
        </w:tcBorders>
        <w:shd w:val="clear" w:color="75BD42" w:themeColor="accent4" w:fill="auto"/>
      </w:tcPr>
    </w:tblStylePr>
    <w:tblStylePr w:type="firstCol">
      <w:rPr>
        <w:rFonts w:ascii="Arial" w:hAnsi="Arial"/>
        <w:b/>
        <w:color w:val="FFFFFF"/>
        <w:sz w:val="22"/>
      </w:rPr>
      <w:tcPr>
        <w:shd w:val="clear" w:color="75BD42" w:themeColor="accent4" w:fill="auto"/>
      </w:tcPr>
    </w:tblStylePr>
    <w:tblStylePr w:type="lastCol">
      <w:rPr>
        <w:rFonts w:ascii="Arial" w:hAnsi="Arial"/>
        <w:b/>
        <w:color w:val="FFFFFF"/>
        <w:sz w:val="22"/>
      </w:rPr>
      <w:tcPr>
        <w:shd w:val="clear" w:color="75BD42" w:themeColor="accent4" w:fill="auto"/>
      </w:tcPr>
    </w:tblStylePr>
    <w:tblStylePr w:type="band1Vert">
      <w:tcPr>
        <w:shd w:val="clear" w:color="BFE0A8" w:themeColor="accent4" w:themeTint="75" w:fill="auto"/>
      </w:tcPr>
    </w:tblStylePr>
    <w:tblStylePr w:type="band1Horz">
      <w:tcPr>
        <w:shd w:val="clear" w:color="BFE0A8" w:themeColor="accent4" w:themeTint="75" w:fill="auto"/>
      </w:tcPr>
    </w:tblStylePr>
  </w:style>
  <w:style w:type="table" w:customStyle="1" w:styleId="117">
    <w:name w:val="Grid Table 5 Dark - Accent 5"/>
    <w:basedOn w:val="3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30C0B4" w:themeColor="accent5" w:fill="auto"/>
      </w:tcPr>
    </w:tblStylePr>
    <w:tblStylePr w:type="lastRow">
      <w:rPr>
        <w:rFonts w:ascii="Arial" w:hAnsi="Arial"/>
        <w:b/>
        <w:color w:val="FFFFFF"/>
        <w:sz w:val="22"/>
      </w:rPr>
      <w:tcPr>
        <w:tcBorders>
          <w:top w:val="single" w:color="FFFFFF" w:themeColor="light1" w:sz="4" w:space="0"/>
        </w:tcBorders>
        <w:shd w:val="clear" w:color="30C0B4" w:themeColor="accent5" w:fill="auto"/>
      </w:tcPr>
    </w:tblStylePr>
    <w:tblStylePr w:type="firstCol">
      <w:rPr>
        <w:rFonts w:ascii="Arial" w:hAnsi="Arial"/>
        <w:b/>
        <w:color w:val="FFFFFF"/>
        <w:sz w:val="22"/>
      </w:rPr>
      <w:tcPr>
        <w:shd w:val="clear" w:color="30C0B4" w:themeColor="accent5" w:fill="auto"/>
      </w:tcPr>
    </w:tblStylePr>
    <w:tblStylePr w:type="lastCol">
      <w:rPr>
        <w:rFonts w:ascii="Arial" w:hAnsi="Arial"/>
        <w:b/>
        <w:color w:val="FFFFFF"/>
        <w:sz w:val="22"/>
      </w:rPr>
      <w:tcPr>
        <w:shd w:val="clear" w:color="30C0B4" w:themeColor="accent5" w:fill="auto"/>
      </w:tcPr>
    </w:tblStylePr>
    <w:tblStylePr w:type="band1Vert">
      <w:tcPr>
        <w:shd w:val="clear" w:color="9BE6E0" w:themeColor="accent5" w:themeTint="75" w:fill="auto"/>
      </w:tcPr>
    </w:tblStylePr>
    <w:tblStylePr w:type="band1Horz">
      <w:tcPr>
        <w:shd w:val="clear" w:color="9BE6E0" w:themeColor="accent5" w:themeTint="75" w:fill="auto"/>
      </w:tcPr>
    </w:tblStylePr>
  </w:style>
  <w:style w:type="table" w:customStyle="1" w:styleId="118">
    <w:name w:val="Grid Table 5 Dark - Accent 6"/>
    <w:basedOn w:val="3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E54C5E" w:themeColor="accent6" w:fill="auto"/>
      </w:tcPr>
    </w:tblStylePr>
    <w:tblStylePr w:type="lastRow">
      <w:rPr>
        <w:rFonts w:ascii="Arial" w:hAnsi="Arial"/>
        <w:b/>
        <w:color w:val="FFFFFF"/>
        <w:sz w:val="22"/>
      </w:rPr>
      <w:tcPr>
        <w:tcBorders>
          <w:top w:val="single" w:color="FFFFFF" w:themeColor="light1" w:sz="4" w:space="0"/>
        </w:tcBorders>
        <w:shd w:val="clear" w:color="E54C5E" w:themeColor="accent6" w:fill="auto"/>
      </w:tcPr>
    </w:tblStylePr>
    <w:tblStylePr w:type="firstCol">
      <w:rPr>
        <w:rFonts w:ascii="Arial" w:hAnsi="Arial"/>
        <w:b/>
        <w:color w:val="FFFFFF"/>
        <w:sz w:val="22"/>
      </w:rPr>
      <w:tcPr>
        <w:shd w:val="clear" w:color="E54C5E" w:themeColor="accent6" w:fill="auto"/>
      </w:tcPr>
    </w:tblStylePr>
    <w:tblStylePr w:type="lastCol">
      <w:rPr>
        <w:rFonts w:ascii="Arial" w:hAnsi="Arial"/>
        <w:b/>
        <w:color w:val="FFFFFF"/>
        <w:sz w:val="22"/>
      </w:rPr>
      <w:tcPr>
        <w:shd w:val="clear" w:color="E54C5E" w:themeColor="accent6" w:fill="auto"/>
      </w:tcPr>
    </w:tblStylePr>
    <w:tblStylePr w:type="band1Vert">
      <w:tcPr>
        <w:shd w:val="clear" w:color="F3ACB5" w:themeColor="accent6" w:themeTint="75" w:fill="auto"/>
      </w:tcPr>
    </w:tblStylePr>
    <w:tblStylePr w:type="band1Horz">
      <w:tcPr>
        <w:shd w:val="clear" w:color="F3ACB5" w:themeColor="accent6" w:themeTint="75" w:fill="auto"/>
      </w:tcPr>
    </w:tblStylePr>
  </w:style>
  <w:style w:type="table" w:customStyle="1" w:styleId="119">
    <w:name w:val="Grid Table 6 Colorful"/>
    <w:basedOn w:val="33"/>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auto"/>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auto"/>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0">
    <w:name w:val="Grid Table 6 Colorful - Accent 1"/>
    <w:basedOn w:val="33"/>
    <w:qFormat/>
    <w:uiPriority w:val="99"/>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top w:w="0" w:type="dxa"/>
        <w:left w:w="108" w:type="dxa"/>
        <w:bottom w:w="0" w:type="dxa"/>
        <w:right w:w="108" w:type="dxa"/>
      </w:tblCellMar>
    </w:tbl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Row">
      <w:rPr>
        <w:b/>
        <w:color w:val="A4BAE5" w:themeColor="accent1" w:themeTint="80"/>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lastCol">
      <w:rPr>
        <w:b/>
        <w:color w:val="A4BAE5" w:themeColor="accent1" w:themeTint="80"/>
        <w14:textFill>
          <w14:solidFill>
            <w14:schemeClr w14:val="accent1">
              <w14:lumMod w14:val="50000"/>
              <w14:lumOff w14:val="50000"/>
            </w14:schemeClr>
          </w14:solidFill>
        </w14:textFill>
      </w:rPr>
    </w:tblStylePr>
    <w:tblStylePr w:type="band1Vert">
      <w:tcPr>
        <w:shd w:val="clear" w:color="D9E2F4" w:themeColor="accent1" w:themeTint="34" w:fill="auto"/>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auto"/>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21">
    <w:name w:val="Grid Table 6 Colorful - Accent 2"/>
    <w:basedOn w:val="33"/>
    <w:qFormat/>
    <w:uiPriority w:val="99"/>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top w:w="0" w:type="dxa"/>
        <w:left w:w="108" w:type="dxa"/>
        <w:bottom w:w="0" w:type="dxa"/>
        <w:right w:w="108" w:type="dxa"/>
      </w:tblCellMar>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Row">
      <w:rPr>
        <w:b/>
        <w:color w:val="F5B584" w:themeColor="accent2" w:themeTint="96"/>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BE6D6" w:themeColor="accent2" w:themeTint="32" w:fill="auto"/>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auto"/>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22">
    <w:name w:val="Grid Table 6 Colorful - Accent 3"/>
    <w:basedOn w:val="33"/>
    <w:qFormat/>
    <w:uiPriority w:val="99"/>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top w:w="0" w:type="dxa"/>
        <w:left w:w="108" w:type="dxa"/>
        <w:bottom w:w="0" w:type="dxa"/>
        <w:right w:w="108" w:type="dxa"/>
      </w:tblCellMar>
    </w:tbl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Row">
      <w:rPr>
        <w:b/>
        <w:color w:val="F2BA02" w:themeColor="accent3" w:themeTint="FF"/>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lastCol">
      <w:rPr>
        <w:b/>
        <w:color w:val="F2BA02" w:themeColor="accent3" w:themeTint="FF"/>
        <w14:textFill>
          <w14:solidFill>
            <w14:schemeClr w14:val="accent3">
              <w14:lumMod w14:val="100000"/>
              <w14:lumOff w14:val="0"/>
            </w14:schemeClr>
          </w14:solidFill>
        </w14:textFill>
      </w:rPr>
    </w:tblStylePr>
    <w:tblStylePr w:type="band1Vert">
      <w:tcPr>
        <w:shd w:val="clear" w:color="FEF2C9" w:themeColor="accent3" w:themeTint="34" w:fill="auto"/>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auto"/>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23">
    <w:name w:val="Grid Table 6 Colorful - Accent 4"/>
    <w:basedOn w:val="33"/>
    <w:qFormat/>
    <w:uiPriority w:val="99"/>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top w:w="0" w:type="dxa"/>
        <w:left w:w="108" w:type="dxa"/>
        <w:bottom w:w="0" w:type="dxa"/>
        <w:right w:w="108" w:type="dxa"/>
      </w:tblCellMar>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Row">
      <w:rPr>
        <w:b/>
        <w:color w:val="ACD78E" w:themeColor="accent4" w:themeTint="99"/>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E2F1D8" w:themeColor="accent4" w:themeTint="34" w:fill="auto"/>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auto"/>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24">
    <w:name w:val="Grid Table 6 Colorful - Accent 5"/>
    <w:basedOn w:val="33"/>
    <w:qFormat/>
    <w:uiPriority w:val="99"/>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CellMar>
        <w:top w:w="0" w:type="dxa"/>
        <w:left w:w="108" w:type="dxa"/>
        <w:bottom w:w="0" w:type="dxa"/>
        <w:right w:w="108" w:type="dxa"/>
      </w:tblCellMar>
    </w:tblPr>
    <w:tblStylePr w:type="firstRow">
      <w:rPr>
        <w:b/>
        <w:color w:val="1C6F68" w:themeColor="accent5" w:themeShade="94"/>
      </w:rPr>
      <w:tcPr>
        <w:tcBorders>
          <w:bottom w:val="single" w:color="30C0B4" w:themeColor="accent5"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D2F3F1" w:themeColor="accent5" w:themeTint="34" w:fill="auto"/>
      </w:tcPr>
    </w:tblStylePr>
    <w:tblStylePr w:type="band1Horz">
      <w:rPr>
        <w:rFonts w:ascii="Arial" w:hAnsi="Arial"/>
        <w:color w:val="1C6F68" w:themeColor="accent5" w:themeShade="94"/>
        <w:sz w:val="22"/>
      </w:rPr>
      <w:tcPr>
        <w:shd w:val="clear" w:color="D2F3F1" w:themeColor="accent5" w:themeTint="34" w:fill="auto"/>
      </w:tcPr>
    </w:tblStylePr>
    <w:tblStylePr w:type="band2Horz">
      <w:rPr>
        <w:rFonts w:ascii="Arial" w:hAnsi="Arial"/>
        <w:color w:val="1C6F68" w:themeColor="accent5" w:themeShade="94"/>
        <w:sz w:val="22"/>
      </w:rPr>
    </w:tblStylePr>
  </w:style>
  <w:style w:type="table" w:customStyle="1" w:styleId="125">
    <w:name w:val="Grid Table 6 Colorful - Accent 6"/>
    <w:basedOn w:val="33"/>
    <w:qFormat/>
    <w:uiPriority w:val="99"/>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CellMar>
        <w:top w:w="0" w:type="dxa"/>
        <w:left w:w="108" w:type="dxa"/>
        <w:bottom w:w="0" w:type="dxa"/>
        <w:right w:w="108" w:type="dxa"/>
      </w:tblCellMar>
    </w:tblPr>
    <w:tblStylePr w:type="firstRow">
      <w:rPr>
        <w:b/>
        <w:color w:val="1C6F68" w:themeColor="accent5" w:themeShade="94"/>
      </w:rPr>
      <w:tcPr>
        <w:tcBorders>
          <w:bottom w:val="single" w:color="E54C5E" w:themeColor="accent6"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F9DADE" w:themeColor="accent6" w:themeTint="34" w:fill="auto"/>
      </w:tcPr>
    </w:tblStylePr>
    <w:tblStylePr w:type="band1Horz">
      <w:rPr>
        <w:rFonts w:ascii="Arial" w:hAnsi="Arial"/>
        <w:color w:val="1C6F68" w:themeColor="accent5" w:themeShade="94"/>
        <w:sz w:val="22"/>
      </w:rPr>
      <w:tcPr>
        <w:shd w:val="clear" w:color="F9DADE" w:themeColor="accent6" w:themeTint="34" w:fill="auto"/>
      </w:tcPr>
    </w:tblStylePr>
    <w:tblStylePr w:type="band2Horz">
      <w:rPr>
        <w:rFonts w:ascii="Arial" w:hAnsi="Arial"/>
        <w:color w:val="1C6F68" w:themeColor="accent5" w:themeShade="94"/>
        <w:sz w:val="22"/>
      </w:rPr>
    </w:tblStylePr>
  </w:style>
  <w:style w:type="table" w:customStyle="1" w:styleId="126">
    <w:name w:val="Grid Table 7 Colorful"/>
    <w:basedOn w:val="33"/>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auto"/>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auto"/>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auto"/>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auto"/>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7">
    <w:name w:val="Grid Table 7 Colorful - Accent 1"/>
    <w:basedOn w:val="33"/>
    <w:qFormat/>
    <w:uiPriority w:val="99"/>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top w:w="0" w:type="dxa"/>
        <w:left w:w="108" w:type="dxa"/>
        <w:bottom w:w="0" w:type="dxa"/>
        <w:right w:w="108" w:type="dxa"/>
      </w:tblCellMar>
    </w:tblPr>
    <w:tblStylePr w:type="firstRow">
      <w:rPr>
        <w:rFonts w:ascii="Arial" w:hAnsi="Arial"/>
        <w:b/>
        <w:color w:val="A4BAE5" w:themeColor="accent1" w:themeTint="80"/>
        <w:sz w:val="22"/>
        <w14:textFill>
          <w14:solidFill>
            <w14:schemeClr w14:val="accent1">
              <w14:lumMod w14:val="50000"/>
              <w14:lumOff w14:val="50000"/>
            </w14:schemeClr>
          </w14:solidFill>
        </w14:textFill>
      </w:rPr>
      <w:tcPr>
        <w:tcBorders>
          <w:top w:val="nil"/>
          <w:left w:val="nil"/>
          <w:bottom w:val="single" w:color="A3B9E4" w:themeColor="accent1" w:themeTint="80" w:sz="4" w:space="0"/>
          <w:right w:val="nil"/>
        </w:tcBorders>
        <w:shd w:val="clear" w:color="FFFFFF" w:themeColor="light1" w:fill="auto"/>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tcBorders>
          <w:top w:val="single" w:color="A3B9E4" w:themeColor="accent1" w:themeTint="80" w:sz="4" w:space="0"/>
          <w:left w:val="nil"/>
          <w:bottom w:val="nil"/>
          <w:right w:val="nil"/>
        </w:tcBorders>
        <w:shd w:val="clear" w:color="FFFFFF" w:themeColor="light1" w:fill="auto"/>
      </w:tcPr>
    </w:tblStylePr>
    <w:tblStylePr w:type="firstCol">
      <w:pPr>
        <w:jc w:val="right"/>
      </w:pPr>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nil"/>
          <w:bottom w:val="nil"/>
          <w:right w:val="single" w:color="A3B9E4" w:themeColor="accent1" w:themeTint="80" w:sz="4" w:space="0"/>
        </w:tcBorders>
        <w:shd w:val="clear" w:color="FFFFFF" w:fill="auto"/>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single" w:color="A3B9E4" w:themeColor="accent1" w:themeTint="80" w:sz="4" w:space="0"/>
          <w:bottom w:val="nil"/>
          <w:right w:val="nil"/>
        </w:tcBorders>
        <w:shd w:val="clear" w:color="FFFFFF" w:fill="auto"/>
      </w:tcPr>
    </w:tblStylePr>
    <w:tblStylePr w:type="band1Vert">
      <w:tcPr>
        <w:shd w:val="clear" w:color="D9E2F4" w:themeColor="accent1" w:themeTint="34" w:fill="auto"/>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auto"/>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28">
    <w:name w:val="Grid Table 7 Colorful - Accent 2"/>
    <w:basedOn w:val="33"/>
    <w:qFormat/>
    <w:uiPriority w:val="99"/>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top w:w="0" w:type="dxa"/>
        <w:left w:w="108" w:type="dxa"/>
        <w:bottom w:w="0" w:type="dxa"/>
        <w:right w:w="108" w:type="dxa"/>
      </w:tblCellMar>
    </w:tblPr>
    <w:tblStylePr w:type="firstRow">
      <w:rPr>
        <w:rFonts w:ascii="Arial" w:hAnsi="Arial"/>
        <w:b/>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auto"/>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auto"/>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BE6D6" w:themeColor="accent2" w:themeTint="32" w:fill="auto"/>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auto"/>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29">
    <w:name w:val="Grid Table 7 Colorful - Accent 3"/>
    <w:basedOn w:val="33"/>
    <w:qFormat/>
    <w:uiPriority w:val="99"/>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top w:w="0" w:type="dxa"/>
        <w:left w:w="108" w:type="dxa"/>
        <w:bottom w:w="0" w:type="dxa"/>
        <w:right w:w="108" w:type="dxa"/>
      </w:tblCellMar>
    </w:tblPr>
    <w:tblStylePr w:type="firstRow">
      <w:rPr>
        <w:rFonts w:ascii="Arial" w:hAnsi="Arial"/>
        <w:b/>
        <w:color w:val="F2BA02" w:themeColor="accent3" w:themeTint="FF"/>
        <w:sz w:val="22"/>
        <w14:textFill>
          <w14:solidFill>
            <w14:schemeClr w14:val="accent3">
              <w14:lumMod w14:val="100000"/>
              <w14:lumOff w14:val="0"/>
            </w14:schemeClr>
          </w14:solidFill>
        </w14:textFill>
      </w:rPr>
      <w:tcPr>
        <w:tcBorders>
          <w:top w:val="nil"/>
          <w:left w:val="nil"/>
          <w:bottom w:val="single" w:color="F3BA02" w:themeColor="accent3" w:themeTint="FE" w:sz="4" w:space="0"/>
          <w:right w:val="nil"/>
        </w:tcBorders>
        <w:shd w:val="clear" w:color="FFFFFF" w:themeColor="light1" w:fill="auto"/>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tcBorders>
          <w:top w:val="single" w:color="F3BA02" w:themeColor="accent3" w:themeTint="FE" w:sz="4" w:space="0"/>
          <w:left w:val="nil"/>
          <w:bottom w:val="nil"/>
          <w:right w:val="nil"/>
        </w:tcBorders>
        <w:shd w:val="clear" w:color="FFFFFF" w:themeColor="light1" w:fill="auto"/>
      </w:tcPr>
    </w:tblStylePr>
    <w:tblStylePr w:type="firstCol">
      <w:pPr>
        <w:jc w:val="right"/>
      </w:pPr>
      <w:rPr>
        <w:rFonts w:ascii="Arial" w:hAnsi="Arial"/>
        <w:i/>
        <w:color w:val="F2BA02" w:themeColor="accent3" w:themeTint="FF"/>
        <w:sz w:val="22"/>
        <w14:textFill>
          <w14:solidFill>
            <w14:schemeClr w14:val="accent3">
              <w14:lumMod w14:val="100000"/>
              <w14:lumOff w14:val="0"/>
            </w14:schemeClr>
          </w14:solidFill>
        </w14:textFill>
      </w:rPr>
      <w:tcPr>
        <w:tcBorders>
          <w:top w:val="nil"/>
          <w:left w:val="nil"/>
          <w:bottom w:val="nil"/>
          <w:right w:val="single" w:color="F3BA02" w:themeColor="accent3" w:themeTint="FE" w:sz="4" w:space="0"/>
        </w:tcBorders>
        <w:shd w:val="clear" w:color="FFFFFF" w:fill="auto"/>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tcBorders>
          <w:top w:val="nil"/>
          <w:left w:val="single" w:color="F3BA02" w:themeColor="accent3" w:themeTint="FE" w:sz="4" w:space="0"/>
          <w:bottom w:val="nil"/>
          <w:right w:val="nil"/>
        </w:tcBorders>
        <w:shd w:val="clear" w:color="FFFFFF" w:fill="auto"/>
      </w:tcPr>
    </w:tblStylePr>
    <w:tblStylePr w:type="band1Vert">
      <w:tcPr>
        <w:shd w:val="clear" w:color="FEF2C9" w:themeColor="accent3" w:themeTint="34" w:fill="auto"/>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auto"/>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30">
    <w:name w:val="Grid Table 7 Colorful - Accent 4"/>
    <w:basedOn w:val="33"/>
    <w:qFormat/>
    <w:uiPriority w:val="99"/>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top w:w="0" w:type="dxa"/>
        <w:left w:w="108" w:type="dxa"/>
        <w:bottom w:w="0" w:type="dxa"/>
        <w:right w:w="108" w:type="dxa"/>
      </w:tblCellMar>
    </w:tblPr>
    <w:tblStylePr w:type="firstRow">
      <w:rPr>
        <w:rFonts w:ascii="Arial" w:hAnsi="Arial"/>
        <w:b/>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auto"/>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auto"/>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E2F1D8" w:themeColor="accent4" w:themeTint="34" w:fill="auto"/>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auto"/>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31">
    <w:name w:val="Grid Table 7 Colorful - Accent 5"/>
    <w:basedOn w:val="33"/>
    <w:qFormat/>
    <w:uiPriority w:val="99"/>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top w:w="0" w:type="dxa"/>
        <w:left w:w="108" w:type="dxa"/>
        <w:bottom w:w="0" w:type="dxa"/>
        <w:right w:w="108" w:type="dxa"/>
      </w:tblCellMar>
    </w:tblPr>
    <w:tblStylePr w:type="firstRow">
      <w:rPr>
        <w:rFonts w:ascii="Arial" w:hAnsi="Arial"/>
        <w:b/>
        <w:color w:val="1C6F68" w:themeColor="accent5" w:themeShade="94"/>
        <w:sz w:val="22"/>
      </w:rPr>
      <w:tcPr>
        <w:tcBorders>
          <w:top w:val="nil"/>
          <w:left w:val="nil"/>
          <w:bottom w:val="single" w:color="85E0D8" w:themeColor="accent5" w:themeTint="90" w:sz="4" w:space="0"/>
          <w:right w:val="nil"/>
        </w:tcBorders>
        <w:shd w:val="clear" w:color="FFFFFF" w:themeColor="light1" w:fill="auto"/>
      </w:tcPr>
    </w:tblStylePr>
    <w:tblStylePr w:type="lastRow">
      <w:rPr>
        <w:rFonts w:ascii="Arial" w:hAnsi="Arial"/>
        <w:b/>
        <w:color w:val="1C6F68" w:themeColor="accent5" w:themeShade="94"/>
        <w:sz w:val="22"/>
      </w:rPr>
      <w:tcPr>
        <w:tcBorders>
          <w:top w:val="single" w:color="85E0D8" w:themeColor="accent5" w:themeTint="90" w:sz="4" w:space="0"/>
          <w:left w:val="nil"/>
          <w:bottom w:val="nil"/>
          <w:right w:val="nil"/>
        </w:tcBorders>
        <w:shd w:val="clear" w:color="FFFFFF" w:themeColor="light1" w:fill="auto"/>
      </w:tcPr>
    </w:tblStylePr>
    <w:tblStylePr w:type="firstCol">
      <w:pPr>
        <w:jc w:val="right"/>
      </w:pPr>
      <w:rPr>
        <w:rFonts w:ascii="Arial" w:hAnsi="Arial"/>
        <w:i/>
        <w:color w:val="1C6F68" w:themeColor="accent5" w:themeShade="94"/>
        <w:sz w:val="22"/>
      </w:rPr>
      <w:tcPr>
        <w:tcBorders>
          <w:top w:val="nil"/>
          <w:left w:val="nil"/>
          <w:bottom w:val="nil"/>
          <w:right w:val="single" w:color="85E0D8" w:themeColor="accent5" w:themeTint="90" w:sz="4" w:space="0"/>
        </w:tcBorders>
        <w:shd w:val="clear" w:color="FFFFFF" w:fill="auto"/>
      </w:tcPr>
    </w:tblStylePr>
    <w:tblStylePr w:type="lastCol">
      <w:rPr>
        <w:rFonts w:ascii="Arial" w:hAnsi="Arial"/>
        <w:i/>
        <w:color w:val="1C6F68" w:themeColor="accent5" w:themeShade="94"/>
        <w:sz w:val="22"/>
      </w:rPr>
      <w:tcPr>
        <w:tcBorders>
          <w:top w:val="nil"/>
          <w:left w:val="single" w:color="85E0D8" w:themeColor="accent5" w:themeTint="90" w:sz="4" w:space="0"/>
          <w:bottom w:val="nil"/>
          <w:right w:val="nil"/>
        </w:tcBorders>
        <w:shd w:val="clear" w:color="FFFFFF" w:fill="auto"/>
      </w:tcPr>
    </w:tblStylePr>
    <w:tblStylePr w:type="band1Vert">
      <w:tcPr>
        <w:shd w:val="clear" w:color="D2F3F1" w:themeColor="accent5" w:themeTint="34" w:fill="auto"/>
      </w:tcPr>
    </w:tblStylePr>
    <w:tblStylePr w:type="band1Horz">
      <w:rPr>
        <w:rFonts w:ascii="Arial" w:hAnsi="Arial"/>
        <w:color w:val="1C6F68" w:themeColor="accent5" w:themeShade="94"/>
        <w:sz w:val="22"/>
      </w:rPr>
      <w:tcPr>
        <w:shd w:val="clear" w:color="D2F3F1" w:themeColor="accent5" w:themeTint="34" w:fill="auto"/>
      </w:tcPr>
    </w:tblStylePr>
    <w:tblStylePr w:type="band2Horz">
      <w:rPr>
        <w:rFonts w:ascii="Arial" w:hAnsi="Arial"/>
        <w:color w:val="1C6F68" w:themeColor="accent5" w:themeShade="94"/>
        <w:sz w:val="22"/>
      </w:rPr>
    </w:tblStylePr>
  </w:style>
  <w:style w:type="table" w:customStyle="1" w:styleId="132">
    <w:name w:val="Grid Table 7 Colorful - Accent 6"/>
    <w:basedOn w:val="33"/>
    <w:qFormat/>
    <w:uiPriority w:val="99"/>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top w:w="0" w:type="dxa"/>
        <w:left w:w="108" w:type="dxa"/>
        <w:bottom w:w="0" w:type="dxa"/>
        <w:right w:w="108" w:type="dxa"/>
      </w:tblCellMar>
    </w:tblPr>
    <w:tblStylePr w:type="firstRow">
      <w:rPr>
        <w:rFonts w:ascii="Arial" w:hAnsi="Arial"/>
        <w:b/>
        <w:color w:val="9A1626" w:themeColor="accent6" w:themeShade="94"/>
        <w:sz w:val="22"/>
      </w:rPr>
      <w:tcPr>
        <w:tcBorders>
          <w:top w:val="nil"/>
          <w:left w:val="nil"/>
          <w:bottom w:val="single" w:color="F099A4" w:themeColor="accent6" w:themeTint="90" w:sz="4" w:space="0"/>
          <w:right w:val="nil"/>
        </w:tcBorders>
        <w:shd w:val="clear" w:color="FFFFFF" w:themeColor="light1" w:fill="auto"/>
      </w:tcPr>
    </w:tblStylePr>
    <w:tblStylePr w:type="lastRow">
      <w:rPr>
        <w:rFonts w:ascii="Arial" w:hAnsi="Arial"/>
        <w:b/>
        <w:color w:val="9A1626" w:themeColor="accent6" w:themeShade="94"/>
        <w:sz w:val="22"/>
      </w:rPr>
      <w:tcPr>
        <w:tcBorders>
          <w:top w:val="single" w:color="F099A4" w:themeColor="accent6" w:themeTint="90" w:sz="4" w:space="0"/>
          <w:left w:val="nil"/>
          <w:bottom w:val="nil"/>
          <w:right w:val="nil"/>
        </w:tcBorders>
        <w:shd w:val="clear" w:color="FFFFFF" w:themeColor="light1" w:fill="auto"/>
      </w:tcPr>
    </w:tblStylePr>
    <w:tblStylePr w:type="firstCol">
      <w:pPr>
        <w:jc w:val="right"/>
      </w:pPr>
      <w:rPr>
        <w:rFonts w:ascii="Arial" w:hAnsi="Arial"/>
        <w:i/>
        <w:color w:val="9A1626" w:themeColor="accent6" w:themeShade="94"/>
        <w:sz w:val="22"/>
      </w:rPr>
      <w:tcPr>
        <w:tcBorders>
          <w:top w:val="nil"/>
          <w:left w:val="nil"/>
          <w:bottom w:val="nil"/>
          <w:right w:val="single" w:color="F099A4" w:themeColor="accent6" w:themeTint="90" w:sz="4" w:space="0"/>
        </w:tcBorders>
        <w:shd w:val="clear" w:color="FFFFFF" w:fill="auto"/>
      </w:tcPr>
    </w:tblStylePr>
    <w:tblStylePr w:type="lastCol">
      <w:rPr>
        <w:rFonts w:ascii="Arial" w:hAnsi="Arial"/>
        <w:i/>
        <w:color w:val="9A1626" w:themeColor="accent6" w:themeShade="94"/>
        <w:sz w:val="22"/>
      </w:rPr>
      <w:tcPr>
        <w:tcBorders>
          <w:top w:val="nil"/>
          <w:left w:val="single" w:color="F099A4" w:themeColor="accent6" w:themeTint="90" w:sz="4" w:space="0"/>
          <w:bottom w:val="nil"/>
          <w:right w:val="nil"/>
        </w:tcBorders>
        <w:shd w:val="clear" w:color="FFFFFF" w:fill="auto"/>
      </w:tcPr>
    </w:tblStylePr>
    <w:tblStylePr w:type="band1Vert">
      <w:tcPr>
        <w:shd w:val="clear" w:color="F9DADE" w:themeColor="accent6" w:themeTint="34" w:fill="auto"/>
      </w:tcPr>
    </w:tblStylePr>
    <w:tblStylePr w:type="band1Horz">
      <w:rPr>
        <w:rFonts w:ascii="Arial" w:hAnsi="Arial"/>
        <w:color w:val="9A1626" w:themeColor="accent6" w:themeShade="94"/>
        <w:sz w:val="22"/>
      </w:rPr>
      <w:tcPr>
        <w:shd w:val="clear" w:color="F9DADE" w:themeColor="accent6" w:themeTint="34" w:fill="auto"/>
      </w:tcPr>
    </w:tblStylePr>
    <w:tblStylePr w:type="band2Horz">
      <w:rPr>
        <w:rFonts w:ascii="Arial" w:hAnsi="Arial"/>
        <w:color w:val="9A1626" w:themeColor="accent6" w:themeShade="94"/>
        <w:sz w:val="22"/>
      </w:rPr>
    </w:tblStylePr>
  </w:style>
  <w:style w:type="table" w:customStyle="1" w:styleId="133">
    <w:name w:val="List Table 1 Light"/>
    <w:basedOn w:val="33"/>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auto"/>
      </w:tcPr>
    </w:tblStylePr>
    <w:tblStylePr w:type="band1Horz">
      <w:tcPr>
        <w:shd w:val="clear" w:color="BEBEBE" w:themeColor="text1" w:themeTint="40" w:fill="auto"/>
      </w:tcPr>
    </w:tblStylePr>
  </w:style>
  <w:style w:type="table" w:customStyle="1" w:styleId="134">
    <w:name w:val="List Table 1 Light - Accent 1"/>
    <w:basedOn w:val="33"/>
    <w:qFormat/>
    <w:uiPriority w:val="99"/>
    <w:tblPr>
      <w:tblCellMar>
        <w:top w:w="0" w:type="dxa"/>
        <w:left w:w="108" w:type="dxa"/>
        <w:bottom w:w="0" w:type="dxa"/>
        <w:right w:w="108" w:type="dxa"/>
      </w:tblCellMar>
    </w:tblPr>
    <w:tblStylePr w:type="firstRow">
      <w:rPr>
        <w:b/>
        <w:color w:val="404040"/>
      </w:rPr>
      <w:tcPr>
        <w:tcBorders>
          <w:top w:val="nil"/>
          <w:left w:val="nil"/>
          <w:bottom w:val="single" w:color="4874CB" w:themeColor="accent1" w:sz="4" w:space="0"/>
          <w:right w:val="nil"/>
        </w:tcBorders>
      </w:tcPr>
    </w:tblStylePr>
    <w:tblStylePr w:type="lastRow">
      <w:rPr>
        <w:b/>
        <w:color w:val="404040"/>
      </w:rPr>
      <w:tcPr>
        <w:tcBorders>
          <w:top w:val="single" w:color="4874CB"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DCF1" w:themeColor="accent1" w:themeTint="40" w:fill="auto"/>
      </w:tcPr>
    </w:tblStylePr>
    <w:tblStylePr w:type="band1Horz">
      <w:tcPr>
        <w:shd w:val="clear" w:color="D1DCF1" w:themeColor="accent1" w:themeTint="40" w:fill="auto"/>
      </w:tcPr>
    </w:tblStylePr>
  </w:style>
  <w:style w:type="table" w:customStyle="1" w:styleId="135">
    <w:name w:val="List Table 1 Light - Accent 2"/>
    <w:basedOn w:val="33"/>
    <w:qFormat/>
    <w:uiPriority w:val="99"/>
    <w:tblPr>
      <w:tblCellMar>
        <w:top w:w="0" w:type="dxa"/>
        <w:left w:w="108" w:type="dxa"/>
        <w:bottom w:w="0" w:type="dxa"/>
        <w:right w:w="108" w:type="dxa"/>
      </w:tblCellMar>
    </w:tblPr>
    <w:tblStylePr w:type="firstRow">
      <w:rPr>
        <w:b/>
        <w:color w:val="404040"/>
      </w:rPr>
      <w:tcPr>
        <w:tcBorders>
          <w:top w:val="nil"/>
          <w:left w:val="nil"/>
          <w:bottom w:val="single" w:color="EE822F" w:themeColor="accent2" w:sz="4" w:space="0"/>
          <w:right w:val="nil"/>
        </w:tcBorders>
      </w:tcPr>
    </w:tblStylePr>
    <w:tblStylePr w:type="lastRow">
      <w:rPr>
        <w:b/>
        <w:color w:val="404040"/>
      </w:rPr>
      <w:tcPr>
        <w:tcBorders>
          <w:top w:val="single" w:color="EE822F"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FCA" w:themeColor="accent2" w:themeTint="40" w:fill="auto"/>
      </w:tcPr>
    </w:tblStylePr>
    <w:tblStylePr w:type="band1Horz">
      <w:tcPr>
        <w:shd w:val="clear" w:color="FADFCA" w:themeColor="accent2" w:themeTint="40" w:fill="auto"/>
      </w:tcPr>
    </w:tblStylePr>
  </w:style>
  <w:style w:type="table" w:customStyle="1" w:styleId="136">
    <w:name w:val="List Table 1 Light - Accent 3"/>
    <w:basedOn w:val="33"/>
    <w:qFormat/>
    <w:uiPriority w:val="99"/>
    <w:tblPr>
      <w:tblCellMar>
        <w:top w:w="0" w:type="dxa"/>
        <w:left w:w="108" w:type="dxa"/>
        <w:bottom w:w="0" w:type="dxa"/>
        <w:right w:w="108" w:type="dxa"/>
      </w:tblCellMar>
    </w:tblPr>
    <w:tblStylePr w:type="firstRow">
      <w:rPr>
        <w:b/>
        <w:color w:val="404040"/>
      </w:rPr>
      <w:tcPr>
        <w:tcBorders>
          <w:top w:val="nil"/>
          <w:left w:val="nil"/>
          <w:bottom w:val="single" w:color="F2BA02" w:themeColor="accent3" w:sz="4" w:space="0"/>
          <w:right w:val="nil"/>
        </w:tcBorders>
      </w:tcPr>
    </w:tblStylePr>
    <w:tblStylePr w:type="lastRow">
      <w:rPr>
        <w:b/>
        <w:color w:val="404040"/>
      </w:rPr>
      <w:tcPr>
        <w:tcBorders>
          <w:top w:val="single" w:color="F2BA02"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EEFBC" w:themeColor="accent3" w:themeTint="40" w:fill="auto"/>
      </w:tcPr>
    </w:tblStylePr>
    <w:tblStylePr w:type="band1Horz">
      <w:tcPr>
        <w:shd w:val="clear" w:color="FEEFBC" w:themeColor="accent3" w:themeTint="40" w:fill="auto"/>
      </w:tcPr>
    </w:tblStylePr>
  </w:style>
  <w:style w:type="table" w:customStyle="1" w:styleId="137">
    <w:name w:val="List Table 1 Light - Accent 4"/>
    <w:basedOn w:val="33"/>
    <w:qFormat/>
    <w:uiPriority w:val="99"/>
    <w:tblPr>
      <w:tblCellMar>
        <w:top w:w="0" w:type="dxa"/>
        <w:left w:w="108" w:type="dxa"/>
        <w:bottom w:w="0" w:type="dxa"/>
        <w:right w:w="108" w:type="dxa"/>
      </w:tblCellMar>
    </w:tblPr>
    <w:tblStylePr w:type="firstRow">
      <w:rPr>
        <w:b/>
        <w:color w:val="404040"/>
      </w:rPr>
      <w:tcPr>
        <w:tcBorders>
          <w:top w:val="nil"/>
          <w:left w:val="nil"/>
          <w:bottom w:val="single" w:color="75BD42" w:themeColor="accent4" w:sz="4" w:space="0"/>
          <w:right w:val="nil"/>
        </w:tcBorders>
      </w:tcPr>
    </w:tblStylePr>
    <w:tblStylePr w:type="lastRow">
      <w:rPr>
        <w:b/>
        <w:color w:val="404040"/>
      </w:rPr>
      <w:tcPr>
        <w:tcBorders>
          <w:top w:val="single" w:color="75BD4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CEECF" w:themeColor="accent4" w:themeTint="40" w:fill="auto"/>
      </w:tcPr>
    </w:tblStylePr>
    <w:tblStylePr w:type="band1Horz">
      <w:tcPr>
        <w:shd w:val="clear" w:color="DCEECF" w:themeColor="accent4" w:themeTint="40" w:fill="auto"/>
      </w:tcPr>
    </w:tblStylePr>
  </w:style>
  <w:style w:type="table" w:customStyle="1" w:styleId="138">
    <w:name w:val="List Table 1 Light - Accent 5"/>
    <w:basedOn w:val="33"/>
    <w:qFormat/>
    <w:uiPriority w:val="99"/>
    <w:tblPr>
      <w:tblCellMar>
        <w:top w:w="0" w:type="dxa"/>
        <w:left w:w="108" w:type="dxa"/>
        <w:bottom w:w="0" w:type="dxa"/>
        <w:right w:w="108" w:type="dxa"/>
      </w:tblCellMar>
    </w:tblPr>
    <w:tblStylePr w:type="firstRow">
      <w:rPr>
        <w:b/>
        <w:color w:val="404040"/>
      </w:rPr>
      <w:tcPr>
        <w:tcBorders>
          <w:top w:val="nil"/>
          <w:left w:val="nil"/>
          <w:bottom w:val="single" w:color="30C0B4" w:themeColor="accent5" w:sz="4" w:space="0"/>
          <w:right w:val="nil"/>
        </w:tcBorders>
      </w:tcPr>
    </w:tblStylePr>
    <w:tblStylePr w:type="lastRow">
      <w:rPr>
        <w:b/>
        <w:color w:val="404040"/>
      </w:rPr>
      <w:tcPr>
        <w:tcBorders>
          <w:top w:val="single" w:color="30C0B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8F1EE" w:themeColor="accent5" w:themeTint="40" w:fill="auto"/>
      </w:tcPr>
    </w:tblStylePr>
    <w:tblStylePr w:type="band1Horz">
      <w:tcPr>
        <w:shd w:val="clear" w:color="C8F1EE" w:themeColor="accent5" w:themeTint="40" w:fill="auto"/>
      </w:tcPr>
    </w:tblStylePr>
  </w:style>
  <w:style w:type="table" w:customStyle="1" w:styleId="139">
    <w:name w:val="List Table 1 Light - Accent 6"/>
    <w:basedOn w:val="33"/>
    <w:qFormat/>
    <w:uiPriority w:val="99"/>
    <w:tblPr>
      <w:tblCellMar>
        <w:top w:w="0" w:type="dxa"/>
        <w:left w:w="108" w:type="dxa"/>
        <w:bottom w:w="0" w:type="dxa"/>
        <w:right w:w="108" w:type="dxa"/>
      </w:tblCellMar>
    </w:tblPr>
    <w:tblStylePr w:type="firstRow">
      <w:rPr>
        <w:b/>
        <w:color w:val="404040"/>
      </w:rPr>
      <w:tcPr>
        <w:tcBorders>
          <w:top w:val="nil"/>
          <w:left w:val="nil"/>
          <w:bottom w:val="single" w:color="E54C5E" w:themeColor="accent6" w:sz="4" w:space="0"/>
          <w:right w:val="nil"/>
        </w:tcBorders>
      </w:tcPr>
    </w:tblStylePr>
    <w:tblStylePr w:type="lastRow">
      <w:rPr>
        <w:b/>
        <w:color w:val="404040"/>
      </w:rPr>
      <w:tcPr>
        <w:tcBorders>
          <w:top w:val="single" w:color="E54C5E"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8D2D6" w:themeColor="accent6" w:themeTint="40" w:fill="auto"/>
      </w:tcPr>
    </w:tblStylePr>
    <w:tblStylePr w:type="band1Horz">
      <w:tcPr>
        <w:shd w:val="clear" w:color="F8D2D6" w:themeColor="accent6" w:themeTint="40" w:fill="auto"/>
      </w:tcPr>
    </w:tblStylePr>
  </w:style>
  <w:style w:type="table" w:customStyle="1" w:styleId="140">
    <w:name w:val="List Table 2"/>
    <w:basedOn w:val="33"/>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auto"/>
      </w:tcPr>
    </w:tblStylePr>
    <w:tblStylePr w:type="band1Horz">
      <w:rPr>
        <w:rFonts w:ascii="Arial" w:hAnsi="Arial"/>
        <w:color w:val="404040"/>
        <w:sz w:val="22"/>
      </w:rPr>
      <w:tcPr>
        <w:shd w:val="clear" w:color="BEBEBE" w:themeColor="text1" w:themeTint="40" w:fill="auto"/>
      </w:tcPr>
    </w:tblStylePr>
  </w:style>
  <w:style w:type="table" w:customStyle="1" w:styleId="141">
    <w:name w:val="List Table 2 - Accent 1"/>
    <w:basedOn w:val="33"/>
    <w:qFormat/>
    <w:uiPriority w:val="99"/>
    <w:tblPr>
      <w:tblBorders>
        <w:top w:val="single" w:color="97B0E1" w:themeColor="accent1" w:themeTint="90" w:sz="4" w:space="0"/>
        <w:bottom w:val="single" w:color="97B0E1" w:themeColor="accent1" w:themeTint="90" w:sz="4" w:space="0"/>
        <w:insideH w:val="single" w:color="97B0E1" w:themeColor="accen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la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1" w:themeColor="accent1" w:themeTint="40" w:fill="auto"/>
      </w:tcPr>
    </w:tblStylePr>
    <w:tblStylePr w:type="band1Horz">
      <w:rPr>
        <w:rFonts w:ascii="Arial" w:hAnsi="Arial"/>
        <w:color w:val="404040"/>
        <w:sz w:val="22"/>
      </w:rPr>
      <w:tcPr>
        <w:shd w:val="clear" w:color="D1DCF1" w:themeColor="accent1" w:themeTint="40" w:fill="auto"/>
      </w:tcPr>
    </w:tblStylePr>
  </w:style>
  <w:style w:type="table" w:customStyle="1" w:styleId="142">
    <w:name w:val="List Table 2 - Accent 2"/>
    <w:basedOn w:val="33"/>
    <w:qFormat/>
    <w:uiPriority w:val="99"/>
    <w:tblPr>
      <w:tblBorders>
        <w:top w:val="single" w:color="F5B889" w:themeColor="accent2" w:themeTint="90" w:sz="4" w:space="0"/>
        <w:bottom w:val="single" w:color="F5B889" w:themeColor="accent2" w:themeTint="90" w:sz="4" w:space="0"/>
        <w:insideH w:val="single" w:color="F5B889" w:themeColor="accent2"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la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themeColor="accent2" w:themeTint="40" w:fill="auto"/>
      </w:tcPr>
    </w:tblStylePr>
    <w:tblStylePr w:type="band1Horz">
      <w:rPr>
        <w:rFonts w:ascii="Arial" w:hAnsi="Arial"/>
        <w:color w:val="404040"/>
        <w:sz w:val="22"/>
      </w:rPr>
      <w:tcPr>
        <w:shd w:val="clear" w:color="FADFCA" w:themeColor="accent2" w:themeTint="40" w:fill="auto"/>
      </w:tcPr>
    </w:tblStylePr>
  </w:style>
  <w:style w:type="table" w:customStyle="1" w:styleId="143">
    <w:name w:val="List Table 2 - Accent 3"/>
    <w:basedOn w:val="33"/>
    <w:qFormat/>
    <w:uiPriority w:val="99"/>
    <w:tblPr>
      <w:tblBorders>
        <w:top w:val="single" w:color="FDDB6A" w:themeColor="accent3" w:themeTint="90" w:sz="4" w:space="0"/>
        <w:bottom w:val="single" w:color="FDDB6A" w:themeColor="accent3" w:themeTint="90" w:sz="4" w:space="0"/>
        <w:insideH w:val="single" w:color="FDDB6A" w:themeColor="accent3"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la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FBC" w:themeColor="accent3" w:themeTint="40" w:fill="auto"/>
      </w:tcPr>
    </w:tblStylePr>
    <w:tblStylePr w:type="band1Horz">
      <w:rPr>
        <w:rFonts w:ascii="Arial" w:hAnsi="Arial"/>
        <w:color w:val="404040"/>
        <w:sz w:val="22"/>
      </w:rPr>
      <w:tcPr>
        <w:shd w:val="clear" w:color="FEEFBC" w:themeColor="accent3" w:themeTint="40" w:fill="auto"/>
      </w:tcPr>
    </w:tblStylePr>
  </w:style>
  <w:style w:type="table" w:customStyle="1" w:styleId="144">
    <w:name w:val="List Table 2 - Accent 4"/>
    <w:basedOn w:val="33"/>
    <w:qFormat/>
    <w:uiPriority w:val="99"/>
    <w:tblPr>
      <w:tblBorders>
        <w:top w:val="single" w:color="B1D994" w:themeColor="accent4" w:themeTint="90" w:sz="4" w:space="0"/>
        <w:bottom w:val="single" w:color="B1D994" w:themeColor="accent4" w:themeTint="90" w:sz="4" w:space="0"/>
        <w:insideH w:val="single" w:color="B1D994" w:themeColor="accent4"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la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themeColor="accent4" w:themeTint="40" w:fill="auto"/>
      </w:tcPr>
    </w:tblStylePr>
    <w:tblStylePr w:type="band1Horz">
      <w:rPr>
        <w:rFonts w:ascii="Arial" w:hAnsi="Arial"/>
        <w:color w:val="404040"/>
        <w:sz w:val="22"/>
      </w:rPr>
      <w:tcPr>
        <w:shd w:val="clear" w:color="DCEECF" w:themeColor="accent4" w:themeTint="40" w:fill="auto"/>
      </w:tcPr>
    </w:tblStylePr>
  </w:style>
  <w:style w:type="table" w:customStyle="1" w:styleId="145">
    <w:name w:val="List Table 2 - Accent 5"/>
    <w:basedOn w:val="33"/>
    <w:qFormat/>
    <w:uiPriority w:val="99"/>
    <w:tblPr>
      <w:tblBorders>
        <w:top w:val="single" w:color="85E0D8" w:themeColor="accent5" w:themeTint="90" w:sz="4" w:space="0"/>
        <w:bottom w:val="single" w:color="85E0D8" w:themeColor="accent5" w:themeTint="90" w:sz="4" w:space="0"/>
        <w:insideH w:val="single" w:color="85E0D8" w:themeColor="accent5"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la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E" w:themeColor="accent5" w:themeTint="40" w:fill="auto"/>
      </w:tcPr>
    </w:tblStylePr>
    <w:tblStylePr w:type="band1Horz">
      <w:rPr>
        <w:rFonts w:ascii="Arial" w:hAnsi="Arial"/>
        <w:color w:val="404040"/>
        <w:sz w:val="22"/>
      </w:rPr>
      <w:tcPr>
        <w:shd w:val="clear" w:color="C8F1EE" w:themeColor="accent5" w:themeTint="40" w:fill="auto"/>
      </w:tcPr>
    </w:tblStylePr>
  </w:style>
  <w:style w:type="table" w:customStyle="1" w:styleId="146">
    <w:name w:val="List Table 2 - Accent 6"/>
    <w:basedOn w:val="33"/>
    <w:qFormat/>
    <w:uiPriority w:val="99"/>
    <w:tblPr>
      <w:tblBorders>
        <w:top w:val="single" w:color="F099A4" w:themeColor="accent6" w:themeTint="90" w:sz="4" w:space="0"/>
        <w:bottom w:val="single" w:color="F099A4" w:themeColor="accent6" w:themeTint="90" w:sz="4" w:space="0"/>
        <w:insideH w:val="single" w:color="F099A4" w:themeColor="accent6"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la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2D6" w:themeColor="accent6" w:themeTint="40" w:fill="auto"/>
      </w:tcPr>
    </w:tblStylePr>
    <w:tblStylePr w:type="band1Horz">
      <w:rPr>
        <w:rFonts w:ascii="Arial" w:hAnsi="Arial"/>
        <w:color w:val="404040"/>
        <w:sz w:val="22"/>
      </w:rPr>
      <w:tcPr>
        <w:shd w:val="clear" w:color="F8D2D6" w:themeColor="accent6" w:themeTint="40" w:fill="auto"/>
      </w:tcPr>
    </w:tblStylePr>
  </w:style>
  <w:style w:type="table" w:customStyle="1" w:styleId="147">
    <w:name w:val="List Table 3"/>
    <w:basedOn w:val="3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8">
    <w:name w:val="List Table 3 - Accent 1"/>
    <w:basedOn w:val="33"/>
    <w:qFormat/>
    <w:uiPriority w:val="99"/>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CellMar>
        <w:top w:w="0" w:type="dxa"/>
        <w:left w:w="108" w:type="dxa"/>
        <w:bottom w:w="0" w:type="dxa"/>
        <w:right w:w="108" w:type="dxa"/>
      </w:tblCellMar>
    </w:tblPr>
    <w:tblStylePr w:type="firstRow">
      <w:rPr>
        <w:rFonts w:ascii="Arial" w:hAnsi="Arial"/>
        <w:b/>
        <w:color w:val="FFFFFF"/>
        <w:sz w:val="22"/>
      </w:rPr>
      <w:tcPr>
        <w:shd w:val="clear" w:color="4874CB" w:themeColor="accen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band1Horz">
      <w:rPr>
        <w:rFonts w:ascii="Arial" w:hAnsi="Arial"/>
        <w:color w:val="404040"/>
        <w:sz w:val="22"/>
      </w:rPr>
      <w:tcPr>
        <w:tcBorders>
          <w:top w:val="single" w:color="4874CB" w:themeColor="accent1" w:sz="4" w:space="0"/>
          <w:bottom w:val="single" w:color="4874CB" w:themeColor="accent1" w:sz="4" w:space="0"/>
        </w:tcBorders>
      </w:tcPr>
    </w:tblStylePr>
  </w:style>
  <w:style w:type="table" w:customStyle="1" w:styleId="149">
    <w:name w:val="List Table 3 - Accent 2"/>
    <w:basedOn w:val="33"/>
    <w:qFormat/>
    <w:uiPriority w:val="99"/>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CellMar>
        <w:top w:w="0" w:type="dxa"/>
        <w:left w:w="108" w:type="dxa"/>
        <w:bottom w:w="0" w:type="dxa"/>
        <w:right w:w="108" w:type="dxa"/>
      </w:tblCellMar>
    </w:tblPr>
    <w:tblStylePr w:type="firstRow">
      <w:rPr>
        <w:rFonts w:ascii="Arial" w:hAnsi="Arial"/>
        <w:b/>
        <w:color w:val="FFFFFF"/>
        <w:sz w:val="22"/>
      </w:rPr>
      <w:tcPr>
        <w:shd w:val="clear" w:color="F4B483" w:themeColor="accent2" w:themeTint="97"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style>
  <w:style w:type="table" w:customStyle="1" w:styleId="150">
    <w:name w:val="List Table 3 - Accent 3"/>
    <w:basedOn w:val="33"/>
    <w:qFormat/>
    <w:uiPriority w:val="99"/>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CellMar>
        <w:top w:w="0" w:type="dxa"/>
        <w:left w:w="108" w:type="dxa"/>
        <w:bottom w:w="0" w:type="dxa"/>
        <w:right w:w="108" w:type="dxa"/>
      </w:tblCellMar>
    </w:tblPr>
    <w:tblStylePr w:type="firstRow">
      <w:rPr>
        <w:rFonts w:ascii="Arial" w:hAnsi="Arial"/>
        <w:b/>
        <w:color w:val="FFFFFF"/>
        <w:sz w:val="22"/>
      </w:rPr>
      <w:tcPr>
        <w:shd w:val="clear" w:color="FDD961" w:themeColor="accent3" w:themeTint="98"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style>
  <w:style w:type="table" w:customStyle="1" w:styleId="151">
    <w:name w:val="List Table 3 - Accent 4"/>
    <w:basedOn w:val="33"/>
    <w:qFormat/>
    <w:uiPriority w:val="99"/>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CellMar>
        <w:top w:w="0" w:type="dxa"/>
        <w:left w:w="108" w:type="dxa"/>
        <w:bottom w:w="0" w:type="dxa"/>
        <w:right w:w="108" w:type="dxa"/>
      </w:tblCellMar>
    </w:tblPr>
    <w:tblStylePr w:type="firstRow">
      <w:rPr>
        <w:rFonts w:ascii="Arial" w:hAnsi="Arial"/>
        <w:b/>
        <w:color w:val="FFFFFF"/>
        <w:sz w:val="22"/>
      </w:rPr>
      <w:tcPr>
        <w:shd w:val="clear" w:color="ABD78C" w:themeColor="accent4" w:themeTint="9A"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style>
  <w:style w:type="table" w:customStyle="1" w:styleId="152">
    <w:name w:val="List Table 3 - Accent 5"/>
    <w:basedOn w:val="33"/>
    <w:qFormat/>
    <w:uiPriority w:val="99"/>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CellMar>
        <w:top w:w="0" w:type="dxa"/>
        <w:left w:w="108" w:type="dxa"/>
        <w:bottom w:w="0" w:type="dxa"/>
        <w:right w:w="108" w:type="dxa"/>
      </w:tblCellMar>
    </w:tblPr>
    <w:tblStylePr w:type="firstRow">
      <w:rPr>
        <w:rFonts w:ascii="Arial" w:hAnsi="Arial"/>
        <w:b/>
        <w:color w:val="FFFFFF"/>
        <w:sz w:val="22"/>
      </w:rPr>
      <w:tcPr>
        <w:shd w:val="clear" w:color="7CDED6" w:themeColor="accent5" w:themeTint="9A"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style>
  <w:style w:type="table" w:customStyle="1" w:styleId="153">
    <w:name w:val="List Table 3 - Accent 6"/>
    <w:basedOn w:val="33"/>
    <w:qFormat/>
    <w:uiPriority w:val="99"/>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CellMar>
        <w:top w:w="0" w:type="dxa"/>
        <w:left w:w="108" w:type="dxa"/>
        <w:bottom w:w="0" w:type="dxa"/>
        <w:right w:w="108" w:type="dxa"/>
      </w:tblCellMar>
    </w:tblPr>
    <w:tblStylePr w:type="firstRow">
      <w:rPr>
        <w:rFonts w:ascii="Arial" w:hAnsi="Arial"/>
        <w:b/>
        <w:color w:val="FFFFFF"/>
        <w:sz w:val="22"/>
      </w:rPr>
      <w:tcPr>
        <w:shd w:val="clear" w:color="EF949F" w:themeColor="accent6" w:themeTint="98"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style>
  <w:style w:type="table" w:customStyle="1" w:styleId="154">
    <w:name w:val="List Table 4"/>
    <w:basedOn w:val="3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auto"/>
      </w:tcPr>
    </w:tblStylePr>
    <w:tblStylePr w:type="band1Horz">
      <w:rPr>
        <w:rFonts w:ascii="Arial" w:hAnsi="Arial"/>
        <w:color w:val="404040"/>
        <w:sz w:val="22"/>
      </w:rPr>
      <w:tcPr>
        <w:shd w:val="clear" w:color="BEBEBE" w:themeColor="text1" w:themeTint="40" w:fill="auto"/>
      </w:tcPr>
    </w:tblStylePr>
  </w:style>
  <w:style w:type="table" w:customStyle="1" w:styleId="155">
    <w:name w:val="List Table 4 - Accent 1"/>
    <w:basedOn w:val="33"/>
    <w:qFormat/>
    <w:uiPriority w:val="99"/>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874CB" w:themeColor="accen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1" w:themeColor="accent1" w:themeTint="40" w:fill="auto"/>
      </w:tcPr>
    </w:tblStylePr>
    <w:tblStylePr w:type="band1Horz">
      <w:rPr>
        <w:rFonts w:ascii="Arial" w:hAnsi="Arial"/>
        <w:color w:val="404040"/>
        <w:sz w:val="22"/>
      </w:rPr>
      <w:tcPr>
        <w:shd w:val="clear" w:color="D1DCF1" w:themeColor="accent1" w:themeTint="40" w:fill="auto"/>
      </w:tcPr>
    </w:tblStylePr>
  </w:style>
  <w:style w:type="table" w:customStyle="1" w:styleId="156">
    <w:name w:val="List Table 4 - Accent 2"/>
    <w:basedOn w:val="33"/>
    <w:qFormat/>
    <w:uiPriority w:val="99"/>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CellMar>
        <w:top w:w="0" w:type="dxa"/>
        <w:left w:w="108" w:type="dxa"/>
        <w:bottom w:w="0" w:type="dxa"/>
        <w:right w:w="108" w:type="dxa"/>
      </w:tblCellMar>
    </w:tblPr>
    <w:tblStylePr w:type="firstRow">
      <w:rPr>
        <w:rFonts w:ascii="Arial" w:hAnsi="Arial"/>
        <w:b/>
        <w:color w:val="FFFFFF"/>
        <w:sz w:val="22"/>
      </w:rPr>
      <w:tcPr>
        <w:shd w:val="clear" w:color="EE822F" w:themeColor="accent2"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themeColor="accent2" w:themeTint="40" w:fill="auto"/>
      </w:tcPr>
    </w:tblStylePr>
    <w:tblStylePr w:type="band1Horz">
      <w:rPr>
        <w:rFonts w:ascii="Arial" w:hAnsi="Arial"/>
        <w:color w:val="404040"/>
        <w:sz w:val="22"/>
      </w:rPr>
      <w:tcPr>
        <w:shd w:val="clear" w:color="FADFCA" w:themeColor="accent2" w:themeTint="40" w:fill="auto"/>
      </w:tcPr>
    </w:tblStylePr>
  </w:style>
  <w:style w:type="table" w:customStyle="1" w:styleId="157">
    <w:name w:val="List Table 4 - Accent 3"/>
    <w:basedOn w:val="33"/>
    <w:qFormat/>
    <w:uiPriority w:val="99"/>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CellMar>
        <w:top w:w="0" w:type="dxa"/>
        <w:left w:w="108" w:type="dxa"/>
        <w:bottom w:w="0" w:type="dxa"/>
        <w:right w:w="108" w:type="dxa"/>
      </w:tblCellMar>
    </w:tblPr>
    <w:tblStylePr w:type="firstRow">
      <w:rPr>
        <w:rFonts w:ascii="Arial" w:hAnsi="Arial"/>
        <w:b/>
        <w:color w:val="FFFFFF"/>
        <w:sz w:val="22"/>
      </w:rPr>
      <w:tcPr>
        <w:shd w:val="clear" w:color="F2BA02" w:themeColor="accent3"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FBC" w:themeColor="accent3" w:themeTint="40" w:fill="auto"/>
      </w:tcPr>
    </w:tblStylePr>
    <w:tblStylePr w:type="band1Horz">
      <w:rPr>
        <w:rFonts w:ascii="Arial" w:hAnsi="Arial"/>
        <w:color w:val="404040"/>
        <w:sz w:val="22"/>
      </w:rPr>
      <w:tcPr>
        <w:shd w:val="clear" w:color="FEEFBC" w:themeColor="accent3" w:themeTint="40" w:fill="auto"/>
      </w:tcPr>
    </w:tblStylePr>
  </w:style>
  <w:style w:type="table" w:customStyle="1" w:styleId="158">
    <w:name w:val="List Table 4 - Accent 4"/>
    <w:basedOn w:val="33"/>
    <w:qFormat/>
    <w:uiPriority w:val="99"/>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CellMar>
        <w:top w:w="0" w:type="dxa"/>
        <w:left w:w="108" w:type="dxa"/>
        <w:bottom w:w="0" w:type="dxa"/>
        <w:right w:w="108" w:type="dxa"/>
      </w:tblCellMar>
    </w:tblPr>
    <w:tblStylePr w:type="firstRow">
      <w:rPr>
        <w:rFonts w:ascii="Arial" w:hAnsi="Arial"/>
        <w:b/>
        <w:color w:val="FFFFFF"/>
        <w:sz w:val="22"/>
      </w:rPr>
      <w:tcPr>
        <w:shd w:val="clear" w:color="75BD42" w:themeColor="accent4"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themeColor="accent4" w:themeTint="40" w:fill="auto"/>
      </w:tcPr>
    </w:tblStylePr>
    <w:tblStylePr w:type="band1Horz">
      <w:rPr>
        <w:rFonts w:ascii="Arial" w:hAnsi="Arial"/>
        <w:color w:val="404040"/>
        <w:sz w:val="22"/>
      </w:rPr>
      <w:tcPr>
        <w:shd w:val="clear" w:color="DCEECF" w:themeColor="accent4" w:themeTint="40" w:fill="auto"/>
      </w:tcPr>
    </w:tblStylePr>
  </w:style>
  <w:style w:type="table" w:customStyle="1" w:styleId="159">
    <w:name w:val="List Table 4 - Accent 5"/>
    <w:basedOn w:val="33"/>
    <w:qFormat/>
    <w:uiPriority w:val="99"/>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CellMar>
        <w:top w:w="0" w:type="dxa"/>
        <w:left w:w="108" w:type="dxa"/>
        <w:bottom w:w="0" w:type="dxa"/>
        <w:right w:w="108" w:type="dxa"/>
      </w:tblCellMar>
    </w:tblPr>
    <w:tblStylePr w:type="firstRow">
      <w:rPr>
        <w:rFonts w:ascii="Arial" w:hAnsi="Arial"/>
        <w:b/>
        <w:color w:val="FFFFFF"/>
        <w:sz w:val="22"/>
      </w:rPr>
      <w:tcPr>
        <w:shd w:val="clear" w:color="30C0B4" w:themeColor="accent5"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E" w:themeColor="accent5" w:themeTint="40" w:fill="auto"/>
      </w:tcPr>
    </w:tblStylePr>
    <w:tblStylePr w:type="band1Horz">
      <w:rPr>
        <w:rFonts w:ascii="Arial" w:hAnsi="Arial"/>
        <w:color w:val="404040"/>
        <w:sz w:val="22"/>
      </w:rPr>
      <w:tcPr>
        <w:shd w:val="clear" w:color="C8F1EE" w:themeColor="accent5" w:themeTint="40" w:fill="auto"/>
      </w:tcPr>
    </w:tblStylePr>
  </w:style>
  <w:style w:type="table" w:customStyle="1" w:styleId="160">
    <w:name w:val="List Table 4 - Accent 6"/>
    <w:basedOn w:val="33"/>
    <w:qFormat/>
    <w:uiPriority w:val="99"/>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CellMar>
        <w:top w:w="0" w:type="dxa"/>
        <w:left w:w="108" w:type="dxa"/>
        <w:bottom w:w="0" w:type="dxa"/>
        <w:right w:w="108" w:type="dxa"/>
      </w:tblCellMar>
    </w:tblPr>
    <w:tblStylePr w:type="firstRow">
      <w:rPr>
        <w:rFonts w:ascii="Arial" w:hAnsi="Arial"/>
        <w:b/>
        <w:color w:val="FFFFFF"/>
        <w:sz w:val="22"/>
      </w:rPr>
      <w:tcPr>
        <w:shd w:val="clear" w:color="E54C5E" w:themeColor="accent6"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2D6" w:themeColor="accent6" w:themeTint="40" w:fill="auto"/>
      </w:tcPr>
    </w:tblStylePr>
    <w:tblStylePr w:type="band1Horz">
      <w:rPr>
        <w:rFonts w:ascii="Arial" w:hAnsi="Arial"/>
        <w:color w:val="404040"/>
        <w:sz w:val="22"/>
      </w:rPr>
      <w:tcPr>
        <w:shd w:val="clear" w:color="F8D2D6" w:themeColor="accent6" w:themeTint="40" w:fill="auto"/>
      </w:tcPr>
    </w:tblStylePr>
  </w:style>
  <w:style w:type="table" w:customStyle="1" w:styleId="161">
    <w:name w:val="List Table 5 Dark"/>
    <w:basedOn w:val="33"/>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auto"/>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auto"/>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auto"/>
      </w:tcPr>
    </w:tblStylePr>
    <w:tblStylePr w:type="band2Horz">
      <w:tcPr>
        <w:tcBorders>
          <w:top w:val="single" w:color="FFFFFF" w:themeColor="light1" w:sz="4" w:space="0"/>
          <w:bottom w:val="single" w:color="FFFFFF" w:themeColor="light1" w:sz="4" w:space="0"/>
        </w:tcBorders>
        <w:shd w:val="clear" w:color="7E7E7E" w:themeColor="text1" w:themeTint="80" w:fill="auto"/>
      </w:tcPr>
    </w:tblStylePr>
  </w:style>
  <w:style w:type="table" w:customStyle="1" w:styleId="162">
    <w:name w:val="List Table 5 Dark - Accent 1"/>
    <w:basedOn w:val="33"/>
    <w:qFormat/>
    <w:uiPriority w:val="99"/>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4874CB" w:themeColor="accent1" w:sz="32" w:space="0"/>
          <w:bottom w:val="single" w:color="FFFFFF" w:themeColor="light1" w:sz="12" w:space="0"/>
        </w:tcBorders>
        <w:shd w:val="clear" w:color="4874CB" w:themeColor="accent1" w:fill="auto"/>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lastCol">
      <w:tcPr>
        <w:tcBorders>
          <w:left w:val="single" w:color="FFFFFF" w:themeColor="light1" w:sz="4" w:space="0"/>
          <w:right w:val="single" w:color="4874CB" w:themeColor="accent1" w:sz="32" w:space="0"/>
        </w:tcBorders>
      </w:tcPr>
    </w:tblStylePr>
    <w:tblStylePr w:type="band1Vert">
      <w:tcPr>
        <w:tcBorders>
          <w:left w:val="single" w:color="FFFFFF" w:themeColor="light1" w:sz="4" w:space="0"/>
          <w:right w:val="single" w:color="FFFFFF" w:themeColor="light1" w:sz="4" w:space="0"/>
        </w:tcBorders>
        <w:shd w:val="clear" w:color="4874CB" w:themeColor="accent1" w:fill="auto"/>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874CB" w:themeColor="accent1" w:fill="auto"/>
      </w:tcPr>
    </w:tblStylePr>
    <w:tblStylePr w:type="band2Horz">
      <w:tcPr>
        <w:tcBorders>
          <w:top w:val="single" w:color="FFFFFF" w:themeColor="light1" w:sz="4" w:space="0"/>
          <w:bottom w:val="single" w:color="FFFFFF" w:themeColor="light1" w:sz="4" w:space="0"/>
        </w:tcBorders>
        <w:shd w:val="clear" w:color="4874CB" w:themeColor="accent1" w:fill="auto"/>
      </w:tcPr>
    </w:tblStylePr>
  </w:style>
  <w:style w:type="table" w:customStyle="1" w:styleId="163">
    <w:name w:val="List Table 5 Dark - Accent 2"/>
    <w:basedOn w:val="33"/>
    <w:qFormat/>
    <w:uiPriority w:val="99"/>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4B483" w:themeColor="accent2" w:themeTint="97" w:sz="32" w:space="0"/>
          <w:bottom w:val="single" w:color="FFFFFF" w:themeColor="light1" w:sz="12" w:space="0"/>
        </w:tcBorders>
        <w:shd w:val="clear" w:color="F4B483" w:themeColor="accent2" w:themeTint="97" w:fill="auto"/>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lastCol">
      <w:tcPr>
        <w:tcBorders>
          <w:left w:val="single" w:color="FFFFFF" w:themeColor="light1" w:sz="4" w:space="0"/>
          <w:right w:val="single" w:color="F4B483" w:themeColor="accent2" w:themeTint="97" w:sz="32" w:space="0"/>
        </w:tcBorders>
      </w:tcPr>
    </w:tblStylePr>
    <w:tblStylePr w:type="band1Vert">
      <w:tcPr>
        <w:tcBorders>
          <w:left w:val="single" w:color="FFFFFF" w:themeColor="light1" w:sz="4" w:space="0"/>
          <w:right w:val="single" w:color="FFFFFF" w:themeColor="light1" w:sz="4" w:space="0"/>
        </w:tcBorders>
        <w:shd w:val="clear" w:color="F4B483" w:themeColor="accent2" w:themeTint="97" w:fill="auto"/>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483" w:themeColor="accent2" w:themeTint="97" w:fill="auto"/>
      </w:tcPr>
    </w:tblStylePr>
    <w:tblStylePr w:type="band2Horz">
      <w:tcPr>
        <w:tcBorders>
          <w:top w:val="single" w:color="FFFFFF" w:themeColor="light1" w:sz="4" w:space="0"/>
          <w:bottom w:val="single" w:color="FFFFFF" w:themeColor="light1" w:sz="4" w:space="0"/>
        </w:tcBorders>
        <w:shd w:val="clear" w:color="F4B483" w:themeColor="accent2" w:themeTint="97" w:fill="auto"/>
      </w:tcPr>
    </w:tblStylePr>
  </w:style>
  <w:style w:type="table" w:customStyle="1" w:styleId="164">
    <w:name w:val="List Table 5 Dark - Accent 3"/>
    <w:basedOn w:val="33"/>
    <w:qFormat/>
    <w:uiPriority w:val="99"/>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DD961" w:themeColor="accent3" w:themeTint="98" w:sz="32" w:space="0"/>
          <w:bottom w:val="single" w:color="FFFFFF" w:themeColor="light1" w:sz="12" w:space="0"/>
        </w:tcBorders>
        <w:shd w:val="clear" w:color="FDD961" w:themeColor="accent3" w:themeTint="98" w:fill="auto"/>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lastCol">
      <w:tcPr>
        <w:tcBorders>
          <w:left w:val="single" w:color="FFFFFF" w:themeColor="light1" w:sz="4" w:space="0"/>
          <w:right w:val="single" w:color="FDD961" w:themeColor="accent3" w:themeTint="98" w:sz="32" w:space="0"/>
        </w:tcBorders>
      </w:tcPr>
    </w:tblStylePr>
    <w:tblStylePr w:type="band1Vert">
      <w:tcPr>
        <w:tcBorders>
          <w:left w:val="single" w:color="FFFFFF" w:themeColor="light1" w:sz="4" w:space="0"/>
          <w:right w:val="single" w:color="FFFFFF" w:themeColor="light1" w:sz="4" w:space="0"/>
        </w:tcBorders>
        <w:shd w:val="clear" w:color="FDD961" w:themeColor="accent3" w:themeTint="98" w:fill="auto"/>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DD961" w:themeColor="accent3" w:themeTint="98" w:fill="auto"/>
      </w:tcPr>
    </w:tblStylePr>
    <w:tblStylePr w:type="band2Horz">
      <w:tcPr>
        <w:tcBorders>
          <w:top w:val="single" w:color="FFFFFF" w:themeColor="light1" w:sz="4" w:space="0"/>
          <w:bottom w:val="single" w:color="FFFFFF" w:themeColor="light1" w:sz="4" w:space="0"/>
        </w:tcBorders>
        <w:shd w:val="clear" w:color="FDD961" w:themeColor="accent3" w:themeTint="98" w:fill="auto"/>
      </w:tcPr>
    </w:tblStylePr>
  </w:style>
  <w:style w:type="table" w:customStyle="1" w:styleId="165">
    <w:name w:val="List Table 5 Dark - Accent 4"/>
    <w:basedOn w:val="33"/>
    <w:qFormat/>
    <w:uiPriority w:val="99"/>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ABD78C" w:themeColor="accent4" w:themeTint="9A" w:sz="32" w:space="0"/>
          <w:bottom w:val="single" w:color="FFFFFF" w:themeColor="light1" w:sz="12" w:space="0"/>
        </w:tcBorders>
        <w:shd w:val="clear" w:color="ABD78C" w:themeColor="accent4" w:themeTint="9A" w:fill="auto"/>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lastCol">
      <w:tcPr>
        <w:tcBorders>
          <w:left w:val="single" w:color="FFFFFF" w:themeColor="light1" w:sz="4" w:space="0"/>
          <w:right w:val="single" w:color="ABD78C" w:themeColor="accent4" w:themeTint="9A" w:sz="32" w:space="0"/>
        </w:tcBorders>
      </w:tcPr>
    </w:tblStylePr>
    <w:tblStylePr w:type="band1Vert">
      <w:tcPr>
        <w:tcBorders>
          <w:left w:val="single" w:color="FFFFFF" w:themeColor="light1" w:sz="4" w:space="0"/>
          <w:right w:val="single" w:color="FFFFFF" w:themeColor="light1" w:sz="4" w:space="0"/>
        </w:tcBorders>
        <w:shd w:val="clear" w:color="ABD78C" w:themeColor="accent4" w:themeTint="9A" w:fill="auto"/>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BD78C" w:themeColor="accent4" w:themeTint="9A" w:fill="auto"/>
      </w:tcPr>
    </w:tblStylePr>
    <w:tblStylePr w:type="band2Horz">
      <w:tcPr>
        <w:tcBorders>
          <w:top w:val="single" w:color="FFFFFF" w:themeColor="light1" w:sz="4" w:space="0"/>
          <w:bottom w:val="single" w:color="FFFFFF" w:themeColor="light1" w:sz="4" w:space="0"/>
        </w:tcBorders>
        <w:shd w:val="clear" w:color="ABD78C" w:themeColor="accent4" w:themeTint="9A" w:fill="auto"/>
      </w:tcPr>
    </w:tblStylePr>
  </w:style>
  <w:style w:type="table" w:customStyle="1" w:styleId="166">
    <w:name w:val="List Table 5 Dark - Accent 5"/>
    <w:basedOn w:val="33"/>
    <w:qFormat/>
    <w:uiPriority w:val="99"/>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7CDED6" w:themeColor="accent5" w:themeTint="9A" w:sz="32" w:space="0"/>
          <w:bottom w:val="single" w:color="FFFFFF" w:themeColor="light1" w:sz="12" w:space="0"/>
        </w:tcBorders>
        <w:shd w:val="clear" w:color="7CDED6" w:themeColor="accent5" w:themeTint="9A" w:fill="auto"/>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lastCol">
      <w:tcPr>
        <w:tcBorders>
          <w:left w:val="single" w:color="FFFFFF" w:themeColor="light1" w:sz="4" w:space="0"/>
          <w:right w:val="single" w:color="7CDED6" w:themeColor="accent5" w:themeTint="9A" w:sz="32" w:space="0"/>
        </w:tcBorders>
      </w:tcPr>
    </w:tblStylePr>
    <w:tblStylePr w:type="band1Vert">
      <w:tcPr>
        <w:tcBorders>
          <w:left w:val="single" w:color="FFFFFF" w:themeColor="light1" w:sz="4" w:space="0"/>
          <w:right w:val="single" w:color="FFFFFF" w:themeColor="light1" w:sz="4" w:space="0"/>
        </w:tcBorders>
        <w:shd w:val="clear" w:color="7CDED6" w:themeColor="accent5" w:themeTint="9A" w:fill="auto"/>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CDED6" w:themeColor="accent5" w:themeTint="9A" w:fill="auto"/>
      </w:tcPr>
    </w:tblStylePr>
    <w:tblStylePr w:type="band2Horz">
      <w:tcPr>
        <w:tcBorders>
          <w:top w:val="single" w:color="FFFFFF" w:themeColor="light1" w:sz="4" w:space="0"/>
          <w:bottom w:val="single" w:color="FFFFFF" w:themeColor="light1" w:sz="4" w:space="0"/>
        </w:tcBorders>
        <w:shd w:val="clear" w:color="7CDED6" w:themeColor="accent5" w:themeTint="9A" w:fill="auto"/>
      </w:tcPr>
    </w:tblStylePr>
  </w:style>
  <w:style w:type="table" w:customStyle="1" w:styleId="167">
    <w:name w:val="List Table 5 Dark - Accent 6"/>
    <w:basedOn w:val="33"/>
    <w:qFormat/>
    <w:uiPriority w:val="99"/>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EF949F" w:themeColor="accent6" w:themeTint="98" w:sz="32" w:space="0"/>
          <w:bottom w:val="single" w:color="FFFFFF" w:themeColor="light1" w:sz="12" w:space="0"/>
        </w:tcBorders>
        <w:shd w:val="clear" w:color="EF949F" w:themeColor="accent6" w:themeTint="98" w:fill="auto"/>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lastCol">
      <w:tcPr>
        <w:tcBorders>
          <w:left w:val="single" w:color="FFFFFF" w:themeColor="light1" w:sz="4" w:space="0"/>
          <w:right w:val="single" w:color="EF949F" w:themeColor="accent6" w:themeTint="98" w:sz="32" w:space="0"/>
        </w:tcBorders>
      </w:tcPr>
    </w:tblStylePr>
    <w:tblStylePr w:type="band1Vert">
      <w:tcPr>
        <w:tcBorders>
          <w:left w:val="single" w:color="FFFFFF" w:themeColor="light1" w:sz="4" w:space="0"/>
          <w:right w:val="single" w:color="FFFFFF" w:themeColor="light1" w:sz="4" w:space="0"/>
        </w:tcBorders>
        <w:shd w:val="clear" w:color="EF949F" w:themeColor="accent6" w:themeTint="98" w:fill="auto"/>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EF949F" w:themeColor="accent6" w:themeTint="98" w:fill="auto"/>
      </w:tcPr>
    </w:tblStylePr>
    <w:tblStylePr w:type="band2Horz">
      <w:tcPr>
        <w:tcBorders>
          <w:top w:val="single" w:color="FFFFFF" w:themeColor="light1" w:sz="4" w:space="0"/>
          <w:bottom w:val="single" w:color="FFFFFF" w:themeColor="light1" w:sz="4" w:space="0"/>
        </w:tcBorders>
        <w:shd w:val="clear" w:color="EF949F" w:themeColor="accent6" w:themeTint="98" w:fill="auto"/>
      </w:tcPr>
    </w:tblStylePr>
  </w:style>
  <w:style w:type="table" w:customStyle="1" w:styleId="168">
    <w:name w:val="List Table 6 Colorful"/>
    <w:basedOn w:val="33"/>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auto"/>
      </w:tcPr>
    </w:tblStylePr>
    <w:tblStylePr w:type="band1Horz">
      <w:rPr>
        <w:rFonts w:ascii="Arial" w:hAnsi="Arial"/>
        <w:color w:val="000000" w:themeColor="text1"/>
        <w:sz w:val="22"/>
        <w14:textFill>
          <w14:solidFill>
            <w14:schemeClr w14:val="tx1"/>
          </w14:solidFill>
        </w14:textFill>
      </w:rPr>
      <w:tcPr>
        <w:shd w:val="clear" w:color="BEBEBE" w:themeColor="text1" w:themeTint="40" w:fill="auto"/>
      </w:tcPr>
    </w:tblStylePr>
    <w:tblStylePr w:type="band2Horz">
      <w:rPr>
        <w:rFonts w:ascii="Arial" w:hAnsi="Arial"/>
        <w:color w:val="000000" w:themeColor="text1"/>
        <w:sz w:val="22"/>
        <w14:textFill>
          <w14:solidFill>
            <w14:schemeClr w14:val="tx1"/>
          </w14:solidFill>
        </w14:textFill>
      </w:rPr>
    </w:tblStylePr>
  </w:style>
  <w:style w:type="table" w:customStyle="1" w:styleId="169">
    <w:name w:val="List Table 6 Colorful - Accent 1"/>
    <w:basedOn w:val="33"/>
    <w:qFormat/>
    <w:uiPriority w:val="99"/>
    <w:tblPr>
      <w:tblBorders>
        <w:top w:val="single" w:color="4874CB" w:themeColor="accent1" w:sz="4" w:space="0"/>
        <w:bottom w:val="single" w:color="4874CB" w:themeColor="accent1" w:sz="4" w:space="0"/>
      </w:tblBorders>
      <w:tblCellMar>
        <w:top w:w="0" w:type="dxa"/>
        <w:left w:w="108" w:type="dxa"/>
        <w:bottom w:w="0" w:type="dxa"/>
        <w:right w:w="108" w:type="dxa"/>
      </w:tblCellMar>
    </w:tblPr>
    <w:tblStylePr w:type="firstRow">
      <w:rPr>
        <w:b/>
        <w:color w:val="23417C" w:themeColor="accent1" w:themeShade="94"/>
      </w:rPr>
      <w:tcPr>
        <w:tcBorders>
          <w:bottom w:val="single" w:color="4874CB" w:themeColor="accent1" w:sz="4" w:space="0"/>
        </w:tcBorders>
      </w:tcPr>
    </w:tblStylePr>
    <w:tblStylePr w:type="lastRow">
      <w:rPr>
        <w:b/>
        <w:color w:val="23417C" w:themeColor="accent1" w:themeShade="94"/>
      </w:rPr>
      <w:tcPr>
        <w:tcBorders>
          <w:top w:val="single" w:color="4874CB" w:themeColor="accent1" w:sz="4" w:space="0"/>
        </w:tcBorders>
      </w:tcPr>
    </w:tblStylePr>
    <w:tblStylePr w:type="firstCol">
      <w:rPr>
        <w:b/>
        <w:color w:val="23417C" w:themeColor="accent1" w:themeShade="94"/>
      </w:rPr>
    </w:tblStylePr>
    <w:tblStylePr w:type="lastCol">
      <w:rPr>
        <w:b/>
        <w:color w:val="23417C" w:themeColor="accent1" w:themeShade="94"/>
      </w:rPr>
    </w:tblStylePr>
    <w:tblStylePr w:type="band1Vert">
      <w:tcPr>
        <w:shd w:val="clear" w:color="D1DCF1" w:themeColor="accent1" w:themeTint="40" w:fill="auto"/>
      </w:tcPr>
    </w:tblStylePr>
    <w:tblStylePr w:type="band1Horz">
      <w:rPr>
        <w:rFonts w:ascii="Arial" w:hAnsi="Arial"/>
        <w:color w:val="23417C" w:themeColor="accent1" w:themeShade="94"/>
        <w:sz w:val="22"/>
      </w:rPr>
      <w:tcPr>
        <w:shd w:val="clear" w:color="D1DCF1" w:themeColor="accent1" w:themeTint="40" w:fill="auto"/>
      </w:tcPr>
    </w:tblStylePr>
    <w:tblStylePr w:type="band2Horz">
      <w:rPr>
        <w:rFonts w:ascii="Arial" w:hAnsi="Arial"/>
        <w:color w:val="23417C" w:themeColor="accent1" w:themeShade="94"/>
        <w:sz w:val="22"/>
      </w:rPr>
    </w:tblStylePr>
  </w:style>
  <w:style w:type="table" w:customStyle="1" w:styleId="170">
    <w:name w:val="List Table 6 Colorful - Accent 2"/>
    <w:basedOn w:val="33"/>
    <w:qFormat/>
    <w:uiPriority w:val="99"/>
    <w:tblPr>
      <w:tblBorders>
        <w:top w:val="single" w:color="F4B483" w:themeColor="accent2" w:themeTint="97" w:sz="4" w:space="0"/>
        <w:bottom w:val="single" w:color="F4B483" w:themeColor="accent2" w:themeTint="97" w:sz="4" w:space="0"/>
      </w:tblBorders>
      <w:tblCellMar>
        <w:top w:w="0" w:type="dxa"/>
        <w:left w:w="108" w:type="dxa"/>
        <w:bottom w:w="0" w:type="dxa"/>
        <w:right w:w="108" w:type="dxa"/>
      </w:tblCellMar>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ADFCA" w:themeColor="accent2" w:themeTint="40" w:fill="auto"/>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auto"/>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71">
    <w:name w:val="List Table 6 Colorful - Accent 3"/>
    <w:basedOn w:val="33"/>
    <w:qFormat/>
    <w:uiPriority w:val="99"/>
    <w:tblPr>
      <w:tblBorders>
        <w:top w:val="single" w:color="FDD961" w:themeColor="accent3" w:themeTint="98" w:sz="4" w:space="0"/>
        <w:bottom w:val="single" w:color="FDD961" w:themeColor="accent3" w:themeTint="98" w:sz="4" w:space="0"/>
      </w:tblBorders>
      <w:tblCellMar>
        <w:top w:w="0" w:type="dxa"/>
        <w:left w:w="108" w:type="dxa"/>
        <w:bottom w:w="0" w:type="dxa"/>
        <w:right w:w="108" w:type="dxa"/>
      </w:tblCellMar>
    </w:tbl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tblStylePr w:type="firstCol">
      <w:rPr>
        <w:b/>
        <w:color w:val="FED961" w:themeColor="accent3" w:themeTint="99"/>
        <w14:textFill>
          <w14:solidFill>
            <w14:schemeClr w14:val="accent3">
              <w14:lumMod w14:val="60000"/>
              <w14:lumOff w14:val="40000"/>
            </w14:schemeClr>
          </w14:solidFill>
        </w14:textFill>
      </w:rPr>
    </w:tblStylePr>
    <w:tblStylePr w:type="lastCol">
      <w:rPr>
        <w:b/>
        <w:color w:val="FED961" w:themeColor="accent3" w:themeTint="99"/>
        <w14:textFill>
          <w14:solidFill>
            <w14:schemeClr w14:val="accent3">
              <w14:lumMod w14:val="60000"/>
              <w14:lumOff w14:val="40000"/>
            </w14:schemeClr>
          </w14:solidFill>
        </w14:textFill>
      </w:rPr>
    </w:tblStylePr>
    <w:tblStylePr w:type="band1Vert">
      <w:tcPr>
        <w:shd w:val="clear" w:color="FEEFBC" w:themeColor="accent3" w:themeTint="40" w:fill="auto"/>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auto"/>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72">
    <w:name w:val="List Table 6 Colorful - Accent 4"/>
    <w:basedOn w:val="33"/>
    <w:qFormat/>
    <w:uiPriority w:val="99"/>
    <w:tblPr>
      <w:tblBorders>
        <w:top w:val="single" w:color="ABD78C" w:themeColor="accent4" w:themeTint="9A" w:sz="4" w:space="0"/>
        <w:bottom w:val="single" w:color="ABD78C" w:themeColor="accent4" w:themeTint="9A" w:sz="4" w:space="0"/>
      </w:tblBorders>
      <w:tblCellMar>
        <w:top w:w="0" w:type="dxa"/>
        <w:left w:w="108" w:type="dxa"/>
        <w:bottom w:w="0" w:type="dxa"/>
        <w:right w:w="108" w:type="dxa"/>
      </w:tblCellMar>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DCEECF" w:themeColor="accent4" w:themeTint="40" w:fill="auto"/>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auto"/>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73">
    <w:name w:val="List Table 6 Colorful - Accent 5"/>
    <w:basedOn w:val="33"/>
    <w:qFormat/>
    <w:uiPriority w:val="99"/>
    <w:tblPr>
      <w:tblBorders>
        <w:top w:val="single" w:color="7CDED6" w:themeColor="accent5" w:themeTint="9A" w:sz="4" w:space="0"/>
        <w:bottom w:val="single" w:color="7CDED6" w:themeColor="accent5" w:themeTint="9A" w:sz="4" w:space="0"/>
      </w:tblBorders>
      <w:tblCellMar>
        <w:top w:w="0" w:type="dxa"/>
        <w:left w:w="108" w:type="dxa"/>
        <w:bottom w:w="0" w:type="dxa"/>
        <w:right w:w="108" w:type="dxa"/>
      </w:tblCellMar>
    </w:tbl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tblStylePr w:type="firstCol">
      <w:rPr>
        <w:b/>
        <w:color w:val="7DDFD7" w:themeColor="accent5" w:themeTint="99"/>
        <w14:textFill>
          <w14:solidFill>
            <w14:schemeClr w14:val="accent5">
              <w14:lumMod w14:val="60000"/>
              <w14:lumOff w14:val="40000"/>
            </w14:schemeClr>
          </w14:solidFill>
        </w14:textFill>
      </w:rPr>
    </w:tblStylePr>
    <w:tblStylePr w:type="lastCol">
      <w:rPr>
        <w:b/>
        <w:color w:val="7DDFD7" w:themeColor="accent5" w:themeTint="99"/>
        <w14:textFill>
          <w14:solidFill>
            <w14:schemeClr w14:val="accent5">
              <w14:lumMod w14:val="60000"/>
              <w14:lumOff w14:val="40000"/>
            </w14:schemeClr>
          </w14:solidFill>
        </w14:textFill>
      </w:rPr>
    </w:tblStylePr>
    <w:tblStylePr w:type="band1Vert">
      <w:tcPr>
        <w:shd w:val="clear" w:color="C8F1EE" w:themeColor="accent5" w:themeTint="40" w:fill="auto"/>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auto"/>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74">
    <w:name w:val="List Table 6 Colorful - Accent 6"/>
    <w:basedOn w:val="33"/>
    <w:qFormat/>
    <w:uiPriority w:val="99"/>
    <w:tblPr>
      <w:tblBorders>
        <w:top w:val="single" w:color="EF949F" w:themeColor="accent6" w:themeTint="98" w:sz="4" w:space="0"/>
        <w:bottom w:val="single" w:color="EF949F" w:themeColor="accent6" w:themeTint="98" w:sz="4" w:space="0"/>
      </w:tblBorders>
      <w:tblCellMar>
        <w:top w:w="0" w:type="dxa"/>
        <w:left w:w="108" w:type="dxa"/>
        <w:bottom w:w="0" w:type="dxa"/>
        <w:right w:w="108" w:type="dxa"/>
      </w:tblCellMar>
    </w:tbl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tblStylePr w:type="firstCol">
      <w:rPr>
        <w:b/>
        <w:color w:val="EF949E" w:themeColor="accent6" w:themeTint="99"/>
        <w14:textFill>
          <w14:solidFill>
            <w14:schemeClr w14:val="accent6">
              <w14:lumMod w14:val="60000"/>
              <w14:lumOff w14:val="40000"/>
            </w14:schemeClr>
          </w14:solidFill>
        </w14:textFill>
      </w:rPr>
    </w:tblStylePr>
    <w:tblStylePr w:type="lastCol">
      <w:rPr>
        <w:b/>
        <w:color w:val="EF949E" w:themeColor="accent6" w:themeTint="99"/>
        <w14:textFill>
          <w14:solidFill>
            <w14:schemeClr w14:val="accent6">
              <w14:lumMod w14:val="60000"/>
              <w14:lumOff w14:val="40000"/>
            </w14:schemeClr>
          </w14:solidFill>
        </w14:textFill>
      </w:rPr>
    </w:tblStylePr>
    <w:tblStylePr w:type="band1Vert">
      <w:tcPr>
        <w:shd w:val="clear" w:color="F8D2D6" w:themeColor="accent6" w:themeTint="40" w:fill="auto"/>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auto"/>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75">
    <w:name w:val="List Table 7 Colorful"/>
    <w:basedOn w:val="33"/>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auto"/>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auto"/>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auto"/>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auto"/>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6">
    <w:name w:val="List Table 7 Colorful - Accent 1"/>
    <w:basedOn w:val="33"/>
    <w:qFormat/>
    <w:uiPriority w:val="99"/>
    <w:tblPr>
      <w:tblBorders>
        <w:right w:val="single" w:color="4874CB" w:themeColor="accent1" w:sz="4" w:space="0"/>
      </w:tblBorders>
      <w:tblCellMar>
        <w:top w:w="0" w:type="dxa"/>
        <w:left w:w="108" w:type="dxa"/>
        <w:bottom w:w="0" w:type="dxa"/>
        <w:right w:w="108" w:type="dxa"/>
      </w:tblCellMar>
    </w:tblPr>
    <w:tblStylePr w:type="firstRow">
      <w:rPr>
        <w:rFonts w:ascii="Arial" w:hAnsi="Arial"/>
        <w:i/>
        <w:color w:val="23417C" w:themeColor="accent1" w:themeShade="94"/>
        <w:sz w:val="22"/>
      </w:rPr>
      <w:tcPr>
        <w:tcBorders>
          <w:top w:val="nil"/>
          <w:left w:val="nil"/>
          <w:bottom w:val="single" w:color="4874CB" w:themeColor="accent1" w:sz="4" w:space="0"/>
          <w:right w:val="nil"/>
        </w:tcBorders>
        <w:shd w:val="clear" w:color="FFFFFF" w:themeColor="light1" w:fill="auto"/>
      </w:tcPr>
    </w:tblStylePr>
    <w:tblStylePr w:type="lastRow">
      <w:rPr>
        <w:rFonts w:ascii="Arial" w:hAnsi="Arial"/>
        <w:i/>
        <w:color w:val="23417C" w:themeColor="accent1" w:themeShade="94"/>
        <w:sz w:val="22"/>
      </w:rPr>
      <w:tcPr>
        <w:tcBorders>
          <w:top w:val="single" w:color="4874CB" w:themeColor="accent1" w:sz="4" w:space="0"/>
          <w:left w:val="nil"/>
          <w:bottom w:val="nil"/>
          <w:right w:val="nil"/>
        </w:tcBorders>
        <w:shd w:val="clear" w:color="FFFFFF" w:themeColor="light1" w:fill="auto"/>
      </w:tcPr>
    </w:tblStylePr>
    <w:tblStylePr w:type="firstCol">
      <w:pPr>
        <w:jc w:val="right"/>
      </w:pPr>
      <w:rPr>
        <w:rFonts w:ascii="Arial" w:hAnsi="Arial"/>
        <w:i/>
        <w:color w:val="23417C" w:themeColor="accent1" w:themeShade="94"/>
        <w:sz w:val="22"/>
      </w:rPr>
      <w:tcPr>
        <w:tcBorders>
          <w:top w:val="nil"/>
          <w:left w:val="nil"/>
          <w:bottom w:val="nil"/>
          <w:right w:val="single" w:color="4874CB" w:themeColor="accent1" w:sz="4" w:space="0"/>
        </w:tcBorders>
        <w:shd w:val="clear" w:color="FFFFFF" w:fill="auto"/>
      </w:tcPr>
    </w:tblStylePr>
    <w:tblStylePr w:type="lastCol">
      <w:rPr>
        <w:rFonts w:ascii="Arial" w:hAnsi="Arial"/>
        <w:i/>
        <w:color w:val="23417C" w:themeColor="accent1" w:themeShade="94"/>
        <w:sz w:val="22"/>
      </w:rPr>
      <w:tcPr>
        <w:tcBorders>
          <w:top w:val="nil"/>
          <w:left w:val="single" w:color="4874CB" w:themeColor="accent1" w:sz="4" w:space="0"/>
          <w:bottom w:val="nil"/>
          <w:right w:val="nil"/>
        </w:tcBorders>
        <w:shd w:val="clear" w:color="FFFFFF" w:fill="auto"/>
      </w:tcPr>
    </w:tblStylePr>
    <w:tblStylePr w:type="band1Vert">
      <w:tcPr>
        <w:shd w:val="clear" w:color="D1DCF1" w:themeColor="accent1" w:themeTint="40" w:fill="auto"/>
      </w:tcPr>
    </w:tblStylePr>
    <w:tblStylePr w:type="band1Horz">
      <w:rPr>
        <w:rFonts w:ascii="Arial" w:hAnsi="Arial"/>
        <w:color w:val="23417C" w:themeColor="accent1" w:themeShade="94"/>
        <w:sz w:val="22"/>
      </w:rPr>
      <w:tcPr>
        <w:shd w:val="clear" w:color="D1DCF1" w:themeColor="accent1" w:themeTint="40" w:fill="auto"/>
      </w:tcPr>
    </w:tblStylePr>
    <w:tblStylePr w:type="band2Horz">
      <w:rPr>
        <w:rFonts w:ascii="Arial" w:hAnsi="Arial"/>
        <w:color w:val="23417C" w:themeColor="accent1" w:themeShade="94"/>
        <w:sz w:val="22"/>
      </w:rPr>
    </w:tblStylePr>
  </w:style>
  <w:style w:type="table" w:customStyle="1" w:styleId="177">
    <w:name w:val="List Table 7 Colorful - Accent 2"/>
    <w:basedOn w:val="33"/>
    <w:qFormat/>
    <w:uiPriority w:val="99"/>
    <w:tblPr>
      <w:tblBorders>
        <w:right w:val="single" w:color="F4B483" w:themeColor="accent2" w:themeTint="97" w:sz="4" w:space="0"/>
      </w:tblBorders>
      <w:tblCellMar>
        <w:top w:w="0" w:type="dxa"/>
        <w:left w:w="108" w:type="dxa"/>
        <w:bottom w:w="0" w:type="dxa"/>
        <w:right w:w="108" w:type="dxa"/>
      </w:tblCellMar>
    </w:tblPr>
    <w:tblStylePr w:type="firstRow">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auto"/>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auto"/>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ADFCA" w:themeColor="accent2" w:themeTint="40" w:fill="auto"/>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auto"/>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78">
    <w:name w:val="List Table 7 Colorful - Accent 3"/>
    <w:basedOn w:val="33"/>
    <w:qFormat/>
    <w:uiPriority w:val="99"/>
    <w:tblPr>
      <w:tblBorders>
        <w:right w:val="single" w:color="FDD961" w:themeColor="accent3" w:themeTint="98" w:sz="4" w:space="0"/>
      </w:tblBorders>
      <w:tblCellMar>
        <w:top w:w="0" w:type="dxa"/>
        <w:left w:w="108" w:type="dxa"/>
        <w:bottom w:w="0" w:type="dxa"/>
        <w:right w:w="108" w:type="dxa"/>
      </w:tblCellMar>
    </w:tblPr>
    <w:tblStylePr w:type="firstRow">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single" w:color="FDD961" w:themeColor="accent3" w:themeTint="98" w:sz="4" w:space="0"/>
          <w:right w:val="nil"/>
        </w:tcBorders>
        <w:shd w:val="clear" w:color="FFFFFF" w:themeColor="light1" w:fill="auto"/>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tcBorders>
          <w:top w:val="single" w:color="FDD961" w:themeColor="accent3" w:themeTint="98" w:sz="4" w:space="0"/>
          <w:left w:val="nil"/>
          <w:bottom w:val="nil"/>
          <w:right w:val="nil"/>
        </w:tcBorders>
        <w:shd w:val="clear" w:color="FFFFFF" w:themeColor="light1" w:fill="auto"/>
      </w:tcPr>
    </w:tblStylePr>
    <w:tblStylePr w:type="firstCol">
      <w:pPr>
        <w:jc w:val="right"/>
      </w:pPr>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nil"/>
          <w:right w:val="single" w:color="FDD961" w:themeColor="accent3" w:themeTint="98" w:sz="4" w:space="0"/>
        </w:tcBorders>
        <w:shd w:val="clear" w:color="FFFFFF" w:fill="auto"/>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single" w:color="FDD961" w:themeColor="accent3" w:themeTint="98" w:sz="4" w:space="0"/>
          <w:bottom w:val="nil"/>
          <w:right w:val="nil"/>
        </w:tcBorders>
        <w:shd w:val="clear" w:color="FFFFFF" w:fill="auto"/>
      </w:tcPr>
    </w:tblStylePr>
    <w:tblStylePr w:type="band1Vert">
      <w:tcPr>
        <w:shd w:val="clear" w:color="FEEFBC" w:themeColor="accent3" w:themeTint="40" w:fill="auto"/>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auto"/>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79">
    <w:name w:val="List Table 7 Colorful - Accent 4"/>
    <w:basedOn w:val="33"/>
    <w:qFormat/>
    <w:uiPriority w:val="99"/>
    <w:tblPr>
      <w:tblBorders>
        <w:right w:val="single" w:color="ABD78C" w:themeColor="accent4" w:themeTint="9A" w:sz="4" w:space="0"/>
      </w:tblBorders>
      <w:tblCellMar>
        <w:top w:w="0" w:type="dxa"/>
        <w:left w:w="108" w:type="dxa"/>
        <w:bottom w:w="0" w:type="dxa"/>
        <w:right w:w="108" w:type="dxa"/>
      </w:tblCellMar>
    </w:tblPr>
    <w:tblStylePr w:type="firstRow">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auto"/>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auto"/>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DCEECF" w:themeColor="accent4" w:themeTint="40" w:fill="auto"/>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auto"/>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80">
    <w:name w:val="List Table 7 Colorful - Accent 5"/>
    <w:basedOn w:val="33"/>
    <w:qFormat/>
    <w:uiPriority w:val="99"/>
    <w:tblPr>
      <w:tblBorders>
        <w:right w:val="single" w:color="7CDED6" w:themeColor="accent5" w:themeTint="9A" w:sz="4" w:space="0"/>
      </w:tblBorders>
      <w:tblCellMar>
        <w:top w:w="0" w:type="dxa"/>
        <w:left w:w="108" w:type="dxa"/>
        <w:bottom w:w="0" w:type="dxa"/>
        <w:right w:w="108" w:type="dxa"/>
      </w:tblCellMar>
    </w:tblPr>
    <w:tblStylePr w:type="firstRow">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single" w:color="7CDED6" w:themeColor="accent5" w:themeTint="9A" w:sz="4" w:space="0"/>
          <w:right w:val="nil"/>
        </w:tcBorders>
        <w:shd w:val="clear" w:color="FFFFFF" w:themeColor="light1" w:fill="auto"/>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tcBorders>
          <w:top w:val="single" w:color="7CDED6" w:themeColor="accent5" w:themeTint="9A" w:sz="4" w:space="0"/>
          <w:left w:val="nil"/>
          <w:bottom w:val="nil"/>
          <w:right w:val="nil"/>
        </w:tcBorders>
        <w:shd w:val="clear" w:color="FFFFFF" w:themeColor="light1" w:fill="auto"/>
      </w:tcPr>
    </w:tblStylePr>
    <w:tblStylePr w:type="firstCol">
      <w:pPr>
        <w:jc w:val="right"/>
      </w:pPr>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nil"/>
          <w:right w:val="single" w:color="7CDED6" w:themeColor="accent5" w:themeTint="9A" w:sz="4" w:space="0"/>
        </w:tcBorders>
        <w:shd w:val="clear" w:color="FFFFFF" w:fill="auto"/>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single" w:color="7CDED6" w:themeColor="accent5" w:themeTint="9A" w:sz="4" w:space="0"/>
          <w:bottom w:val="nil"/>
          <w:right w:val="nil"/>
        </w:tcBorders>
        <w:shd w:val="clear" w:color="FFFFFF" w:fill="auto"/>
      </w:tcPr>
    </w:tblStylePr>
    <w:tblStylePr w:type="band1Vert">
      <w:tcPr>
        <w:shd w:val="clear" w:color="C8F1EE" w:themeColor="accent5" w:themeTint="40" w:fill="auto"/>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auto"/>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81">
    <w:name w:val="List Table 7 Colorful - Accent 6"/>
    <w:basedOn w:val="33"/>
    <w:qFormat/>
    <w:uiPriority w:val="99"/>
    <w:tblPr>
      <w:tblBorders>
        <w:right w:val="single" w:color="EF949F" w:themeColor="accent6" w:themeTint="98" w:sz="4" w:space="0"/>
      </w:tblBorders>
      <w:tblCellMar>
        <w:top w:w="0" w:type="dxa"/>
        <w:left w:w="108" w:type="dxa"/>
        <w:bottom w:w="0" w:type="dxa"/>
        <w:right w:w="108" w:type="dxa"/>
      </w:tblCellMar>
    </w:tblPr>
    <w:tblStylePr w:type="firstRow">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single" w:color="EF949F" w:themeColor="accent6" w:themeTint="98" w:sz="4" w:space="0"/>
          <w:right w:val="nil"/>
        </w:tcBorders>
        <w:shd w:val="clear" w:color="FFFFFF" w:themeColor="light1" w:fill="auto"/>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tcBorders>
          <w:top w:val="single" w:color="EF949F" w:themeColor="accent6" w:themeTint="98" w:sz="4" w:space="0"/>
          <w:left w:val="nil"/>
          <w:bottom w:val="nil"/>
          <w:right w:val="nil"/>
        </w:tcBorders>
        <w:shd w:val="clear" w:color="FFFFFF" w:themeColor="light1" w:fill="auto"/>
      </w:tcPr>
    </w:tblStylePr>
    <w:tblStylePr w:type="firstCol">
      <w:pPr>
        <w:jc w:val="right"/>
      </w:pPr>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nil"/>
          <w:right w:val="single" w:color="EF949F" w:themeColor="accent6" w:themeTint="98" w:sz="4" w:space="0"/>
        </w:tcBorders>
        <w:shd w:val="clear" w:color="FFFFFF" w:fill="auto"/>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single" w:color="EF949F" w:themeColor="accent6" w:themeTint="98" w:sz="4" w:space="0"/>
          <w:bottom w:val="nil"/>
          <w:right w:val="nil"/>
        </w:tcBorders>
        <w:shd w:val="clear" w:color="FFFFFF" w:fill="auto"/>
      </w:tcPr>
    </w:tblStylePr>
    <w:tblStylePr w:type="band1Vert">
      <w:tcPr>
        <w:shd w:val="clear" w:color="F8D2D6" w:themeColor="accent6" w:themeTint="40" w:fill="auto"/>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auto"/>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82">
    <w:name w:val="Lined - Accent"/>
    <w:basedOn w:val="33"/>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auto"/>
      </w:tcPr>
    </w:tblStylePr>
    <w:tblStylePr w:type="lastRow">
      <w:rPr>
        <w:rFonts w:ascii="Arial" w:hAnsi="Arial"/>
        <w:color w:val="F2F2F2"/>
        <w:sz w:val="22"/>
      </w:rPr>
      <w:tcPr>
        <w:shd w:val="clear" w:color="7E7E7E" w:themeColor="text1" w:themeTint="80" w:fill="auto"/>
      </w:tcPr>
    </w:tblStylePr>
    <w:tblStylePr w:type="firstCol">
      <w:rPr>
        <w:rFonts w:ascii="Arial" w:hAnsi="Arial"/>
        <w:color w:val="F2F2F2"/>
        <w:sz w:val="22"/>
      </w:rPr>
      <w:tcPr>
        <w:shd w:val="clear" w:color="7E7E7E" w:themeColor="text1" w:themeTint="80" w:fill="auto"/>
      </w:tcPr>
    </w:tblStylePr>
    <w:tblStylePr w:type="lastCol">
      <w:rPr>
        <w:rFonts w:ascii="Arial" w:hAnsi="Arial"/>
        <w:color w:val="F2F2F2"/>
        <w:sz w:val="22"/>
      </w:rPr>
      <w:tcPr>
        <w:shd w:val="clear" w:color="7E7E7E" w:themeColor="text1" w:themeTint="80" w:fill="auto"/>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auto"/>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auto"/>
      </w:tcPr>
    </w:tblStylePr>
  </w:style>
  <w:style w:type="table" w:customStyle="1" w:styleId="183">
    <w:name w:val="Lined - Accent 1"/>
    <w:basedOn w:val="33"/>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577FCF" w:themeColor="accent1" w:themeTint="EA" w:fill="auto"/>
      </w:tcPr>
    </w:tblStylePr>
    <w:tblStylePr w:type="lastRow">
      <w:rPr>
        <w:rFonts w:ascii="Arial" w:hAnsi="Arial"/>
        <w:color w:val="F2F2F2"/>
        <w:sz w:val="22"/>
      </w:rPr>
      <w:tcPr>
        <w:shd w:val="clear" w:color="577FCF" w:themeColor="accent1" w:themeTint="EA" w:fill="auto"/>
      </w:tcPr>
    </w:tblStylePr>
    <w:tblStylePr w:type="firstCol">
      <w:rPr>
        <w:rFonts w:ascii="Arial" w:hAnsi="Arial"/>
        <w:color w:val="F2F2F2"/>
        <w:sz w:val="22"/>
      </w:rPr>
      <w:tcPr>
        <w:shd w:val="clear" w:color="577FCF" w:themeColor="accent1" w:themeTint="EA" w:fill="auto"/>
      </w:tcPr>
    </w:tblStylePr>
    <w:tblStylePr w:type="lastCol">
      <w:rPr>
        <w:rFonts w:ascii="Arial" w:hAnsi="Arial"/>
        <w:color w:val="F2F2F2"/>
        <w:sz w:val="22"/>
      </w:rPr>
      <w:tcPr>
        <w:shd w:val="clear" w:color="577FCF" w:themeColor="accent1" w:themeTint="EA" w:fill="auto"/>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auto"/>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auto"/>
      </w:tcPr>
    </w:tblStylePr>
  </w:style>
  <w:style w:type="table" w:customStyle="1" w:styleId="184">
    <w:name w:val="Lined - Accent 2"/>
    <w:basedOn w:val="33"/>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4B483" w:themeColor="accent2" w:themeTint="97" w:fill="auto"/>
      </w:tcPr>
    </w:tblStylePr>
    <w:tblStylePr w:type="lastRow">
      <w:rPr>
        <w:rFonts w:ascii="Arial" w:hAnsi="Arial"/>
        <w:color w:val="F2F2F2"/>
        <w:sz w:val="22"/>
      </w:rPr>
      <w:tcPr>
        <w:shd w:val="clear" w:color="F4B483" w:themeColor="accent2" w:themeTint="97" w:fill="auto"/>
      </w:tcPr>
    </w:tblStylePr>
    <w:tblStylePr w:type="firstCol">
      <w:rPr>
        <w:rFonts w:ascii="Arial" w:hAnsi="Arial"/>
        <w:color w:val="F2F2F2"/>
        <w:sz w:val="22"/>
      </w:rPr>
      <w:tcPr>
        <w:shd w:val="clear" w:color="F4B483" w:themeColor="accent2" w:themeTint="97" w:fill="auto"/>
      </w:tcPr>
    </w:tblStylePr>
    <w:tblStylePr w:type="lastCol">
      <w:rPr>
        <w:rFonts w:ascii="Arial" w:hAnsi="Arial"/>
        <w:color w:val="F2F2F2"/>
        <w:sz w:val="22"/>
      </w:rPr>
      <w:tcPr>
        <w:shd w:val="clear" w:color="F4B483" w:themeColor="accent2" w:themeTint="97" w:fill="auto"/>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auto"/>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auto"/>
      </w:tcPr>
    </w:tblStylePr>
  </w:style>
  <w:style w:type="table" w:customStyle="1" w:styleId="185">
    <w:name w:val="Lined - Accent 3"/>
    <w:basedOn w:val="33"/>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3BA02" w:themeColor="accent3" w:themeTint="FE" w:fill="auto"/>
      </w:tcPr>
    </w:tblStylePr>
    <w:tblStylePr w:type="lastRow">
      <w:rPr>
        <w:rFonts w:ascii="Arial" w:hAnsi="Arial"/>
        <w:color w:val="F2F2F2"/>
        <w:sz w:val="22"/>
      </w:rPr>
      <w:tcPr>
        <w:shd w:val="clear" w:color="F3BA02" w:themeColor="accent3" w:themeTint="FE" w:fill="auto"/>
      </w:tcPr>
    </w:tblStylePr>
    <w:tblStylePr w:type="firstCol">
      <w:rPr>
        <w:rFonts w:ascii="Arial" w:hAnsi="Arial"/>
        <w:color w:val="F2F2F2"/>
        <w:sz w:val="22"/>
      </w:rPr>
      <w:tcPr>
        <w:shd w:val="clear" w:color="F3BA02" w:themeColor="accent3" w:themeTint="FE" w:fill="auto"/>
      </w:tcPr>
    </w:tblStylePr>
    <w:tblStylePr w:type="lastCol">
      <w:rPr>
        <w:rFonts w:ascii="Arial" w:hAnsi="Arial"/>
        <w:color w:val="F2F2F2"/>
        <w:sz w:val="22"/>
      </w:rPr>
      <w:tcPr>
        <w:shd w:val="clear" w:color="F3BA02" w:themeColor="accent3" w:themeTint="FE" w:fill="auto"/>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auto"/>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auto"/>
      </w:tcPr>
    </w:tblStylePr>
  </w:style>
  <w:style w:type="table" w:customStyle="1" w:styleId="186">
    <w:name w:val="Lined - Accent 4"/>
    <w:basedOn w:val="33"/>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ABD78C" w:themeColor="accent4" w:themeTint="9A" w:fill="auto"/>
      </w:tcPr>
    </w:tblStylePr>
    <w:tblStylePr w:type="lastRow">
      <w:rPr>
        <w:rFonts w:ascii="Arial" w:hAnsi="Arial"/>
        <w:color w:val="F2F2F2"/>
        <w:sz w:val="22"/>
      </w:rPr>
      <w:tcPr>
        <w:shd w:val="clear" w:color="ABD78C" w:themeColor="accent4" w:themeTint="9A" w:fill="auto"/>
      </w:tcPr>
    </w:tblStylePr>
    <w:tblStylePr w:type="firstCol">
      <w:rPr>
        <w:rFonts w:ascii="Arial" w:hAnsi="Arial"/>
        <w:color w:val="F2F2F2"/>
        <w:sz w:val="22"/>
      </w:rPr>
      <w:tcPr>
        <w:shd w:val="clear" w:color="ABD78C" w:themeColor="accent4" w:themeTint="9A" w:fill="auto"/>
      </w:tcPr>
    </w:tblStylePr>
    <w:tblStylePr w:type="lastCol">
      <w:rPr>
        <w:rFonts w:ascii="Arial" w:hAnsi="Arial"/>
        <w:color w:val="F2F2F2"/>
        <w:sz w:val="22"/>
      </w:rPr>
      <w:tcPr>
        <w:shd w:val="clear" w:color="ABD78C" w:themeColor="accent4" w:themeTint="9A" w:fill="auto"/>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auto"/>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auto"/>
      </w:tcPr>
    </w:tblStylePr>
  </w:style>
  <w:style w:type="table" w:customStyle="1" w:styleId="187">
    <w:name w:val="Lined - Accent 5"/>
    <w:basedOn w:val="33"/>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30C0B4" w:themeColor="accent5" w:fill="auto"/>
      </w:tcPr>
    </w:tblStylePr>
    <w:tblStylePr w:type="lastRow">
      <w:rPr>
        <w:rFonts w:ascii="Arial" w:hAnsi="Arial"/>
        <w:color w:val="F2F2F2"/>
        <w:sz w:val="22"/>
      </w:rPr>
      <w:tcPr>
        <w:shd w:val="clear" w:color="30C0B4" w:themeColor="accent5" w:fill="auto"/>
      </w:tcPr>
    </w:tblStylePr>
    <w:tblStylePr w:type="firstCol">
      <w:rPr>
        <w:rFonts w:ascii="Arial" w:hAnsi="Arial"/>
        <w:color w:val="F2F2F2"/>
        <w:sz w:val="22"/>
      </w:rPr>
      <w:tcPr>
        <w:shd w:val="clear" w:color="30C0B4" w:themeColor="accent5" w:fill="auto"/>
      </w:tcPr>
    </w:tblStylePr>
    <w:tblStylePr w:type="lastCol">
      <w:rPr>
        <w:rFonts w:ascii="Arial" w:hAnsi="Arial"/>
        <w:color w:val="F2F2F2"/>
        <w:sz w:val="22"/>
      </w:rPr>
      <w:tcPr>
        <w:shd w:val="clear" w:color="30C0B4" w:themeColor="accent5" w:fill="auto"/>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auto"/>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auto"/>
      </w:tcPr>
    </w:tblStylePr>
  </w:style>
  <w:style w:type="table" w:customStyle="1" w:styleId="188">
    <w:name w:val="Lined - Accent 6"/>
    <w:basedOn w:val="33"/>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E54C5E" w:themeColor="accent6" w:fill="auto"/>
      </w:tcPr>
    </w:tblStylePr>
    <w:tblStylePr w:type="lastRow">
      <w:rPr>
        <w:rFonts w:ascii="Arial" w:hAnsi="Arial"/>
        <w:color w:val="F2F2F2"/>
        <w:sz w:val="22"/>
      </w:rPr>
      <w:tcPr>
        <w:shd w:val="clear" w:color="E54C5E" w:themeColor="accent6" w:fill="auto"/>
      </w:tcPr>
    </w:tblStylePr>
    <w:tblStylePr w:type="firstCol">
      <w:rPr>
        <w:rFonts w:ascii="Arial" w:hAnsi="Arial"/>
        <w:color w:val="F2F2F2"/>
        <w:sz w:val="22"/>
      </w:rPr>
      <w:tcPr>
        <w:shd w:val="clear" w:color="E54C5E" w:themeColor="accent6" w:fill="auto"/>
      </w:tcPr>
    </w:tblStylePr>
    <w:tblStylePr w:type="lastCol">
      <w:rPr>
        <w:rFonts w:ascii="Arial" w:hAnsi="Arial"/>
        <w:color w:val="F2F2F2"/>
        <w:sz w:val="22"/>
      </w:rPr>
      <w:tcPr>
        <w:shd w:val="clear" w:color="E54C5E" w:themeColor="accent6" w:fill="auto"/>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auto"/>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auto"/>
      </w:tcPr>
    </w:tblStylePr>
  </w:style>
  <w:style w:type="table" w:customStyle="1" w:styleId="189">
    <w:name w:val="Bordered &amp; Lined - Accent"/>
    <w:basedOn w:val="33"/>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auto"/>
      </w:tcPr>
    </w:tblStylePr>
    <w:tblStylePr w:type="lastRow">
      <w:rPr>
        <w:rFonts w:ascii="Arial" w:hAnsi="Arial"/>
        <w:color w:val="F2F2F2"/>
        <w:sz w:val="22"/>
      </w:rPr>
      <w:tcPr>
        <w:shd w:val="clear" w:color="7E7E7E" w:themeColor="text1" w:themeTint="80" w:fill="auto"/>
      </w:tcPr>
    </w:tblStylePr>
    <w:tblStylePr w:type="firstCol">
      <w:rPr>
        <w:rFonts w:ascii="Arial" w:hAnsi="Arial"/>
        <w:color w:val="F2F2F2"/>
        <w:sz w:val="22"/>
      </w:rPr>
      <w:tcPr>
        <w:shd w:val="clear" w:color="7E7E7E" w:themeColor="text1" w:themeTint="80" w:fill="auto"/>
      </w:tcPr>
    </w:tblStylePr>
    <w:tblStylePr w:type="lastCol">
      <w:rPr>
        <w:rFonts w:ascii="Arial" w:hAnsi="Arial"/>
        <w:color w:val="F2F2F2"/>
        <w:sz w:val="22"/>
      </w:rPr>
      <w:tcPr>
        <w:shd w:val="clear" w:color="7E7E7E" w:themeColor="text1" w:themeTint="80" w:fill="auto"/>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auto"/>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auto"/>
      </w:tcPr>
    </w:tblStylePr>
  </w:style>
  <w:style w:type="table" w:customStyle="1" w:styleId="190">
    <w:name w:val="Bordered &amp; Lined - Accent 1"/>
    <w:basedOn w:val="33"/>
    <w:qFormat/>
    <w:uiPriority w:val="99"/>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CellMar>
        <w:top w:w="0" w:type="dxa"/>
        <w:left w:w="108" w:type="dxa"/>
        <w:bottom w:w="0" w:type="dxa"/>
        <w:right w:w="108" w:type="dxa"/>
      </w:tblCellMar>
    </w:tblPr>
    <w:tblStylePr w:type="firstRow">
      <w:rPr>
        <w:rFonts w:ascii="Arial" w:hAnsi="Arial"/>
        <w:color w:val="F2F2F2"/>
        <w:sz w:val="22"/>
      </w:rPr>
      <w:tcPr>
        <w:shd w:val="clear" w:color="577FCF" w:themeColor="accent1" w:themeTint="EA" w:fill="auto"/>
      </w:tcPr>
    </w:tblStylePr>
    <w:tblStylePr w:type="lastRow">
      <w:rPr>
        <w:rFonts w:ascii="Arial" w:hAnsi="Arial"/>
        <w:color w:val="F2F2F2"/>
        <w:sz w:val="22"/>
      </w:rPr>
      <w:tcPr>
        <w:shd w:val="clear" w:color="577FCF" w:themeColor="accent1" w:themeTint="EA" w:fill="auto"/>
      </w:tcPr>
    </w:tblStylePr>
    <w:tblStylePr w:type="firstCol">
      <w:rPr>
        <w:rFonts w:ascii="Arial" w:hAnsi="Arial"/>
        <w:color w:val="F2F2F2"/>
        <w:sz w:val="22"/>
      </w:rPr>
      <w:tcPr>
        <w:shd w:val="clear" w:color="577FCF" w:themeColor="accent1" w:themeTint="EA" w:fill="auto"/>
      </w:tcPr>
    </w:tblStylePr>
    <w:tblStylePr w:type="lastCol">
      <w:rPr>
        <w:rFonts w:ascii="Arial" w:hAnsi="Arial"/>
        <w:color w:val="F2F2F2"/>
        <w:sz w:val="22"/>
      </w:rPr>
      <w:tcPr>
        <w:shd w:val="clear" w:color="577FCF" w:themeColor="accent1" w:themeTint="EA" w:fill="auto"/>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auto"/>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auto"/>
      </w:tcPr>
    </w:tblStylePr>
  </w:style>
  <w:style w:type="table" w:customStyle="1" w:styleId="191">
    <w:name w:val="Bordered &amp; Lined - Accent 2"/>
    <w:basedOn w:val="33"/>
    <w:qFormat/>
    <w:uiPriority w:val="99"/>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CellMar>
        <w:top w:w="0" w:type="dxa"/>
        <w:left w:w="108" w:type="dxa"/>
        <w:bottom w:w="0" w:type="dxa"/>
        <w:right w:w="108" w:type="dxa"/>
      </w:tblCellMar>
    </w:tblPr>
    <w:tblStylePr w:type="firstRow">
      <w:rPr>
        <w:rFonts w:ascii="Arial" w:hAnsi="Arial"/>
        <w:color w:val="F2F2F2"/>
        <w:sz w:val="22"/>
      </w:rPr>
      <w:tcPr>
        <w:shd w:val="clear" w:color="F4B483" w:themeColor="accent2" w:themeTint="97" w:fill="auto"/>
      </w:tcPr>
    </w:tblStylePr>
    <w:tblStylePr w:type="lastRow">
      <w:rPr>
        <w:rFonts w:ascii="Arial" w:hAnsi="Arial"/>
        <w:color w:val="F2F2F2"/>
        <w:sz w:val="22"/>
      </w:rPr>
      <w:tcPr>
        <w:shd w:val="clear" w:color="F4B483" w:themeColor="accent2" w:themeTint="97" w:fill="auto"/>
      </w:tcPr>
    </w:tblStylePr>
    <w:tblStylePr w:type="firstCol">
      <w:rPr>
        <w:rFonts w:ascii="Arial" w:hAnsi="Arial"/>
        <w:color w:val="F2F2F2"/>
        <w:sz w:val="22"/>
      </w:rPr>
      <w:tcPr>
        <w:shd w:val="clear" w:color="F4B483" w:themeColor="accent2" w:themeTint="97" w:fill="auto"/>
      </w:tcPr>
    </w:tblStylePr>
    <w:tblStylePr w:type="lastCol">
      <w:rPr>
        <w:rFonts w:ascii="Arial" w:hAnsi="Arial"/>
        <w:color w:val="F2F2F2"/>
        <w:sz w:val="22"/>
      </w:rPr>
      <w:tcPr>
        <w:shd w:val="clear" w:color="F4B483" w:themeColor="accent2" w:themeTint="97" w:fill="auto"/>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auto"/>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auto"/>
      </w:tcPr>
    </w:tblStylePr>
  </w:style>
  <w:style w:type="table" w:customStyle="1" w:styleId="192">
    <w:name w:val="Bordered &amp; Lined - Accent 3"/>
    <w:basedOn w:val="33"/>
    <w:qFormat/>
    <w:uiPriority w:val="99"/>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CellMar>
        <w:top w:w="0" w:type="dxa"/>
        <w:left w:w="108" w:type="dxa"/>
        <w:bottom w:w="0" w:type="dxa"/>
        <w:right w:w="108" w:type="dxa"/>
      </w:tblCellMar>
    </w:tblPr>
    <w:tblStylePr w:type="firstRow">
      <w:rPr>
        <w:rFonts w:ascii="Arial" w:hAnsi="Arial"/>
        <w:color w:val="F2F2F2"/>
        <w:sz w:val="22"/>
      </w:rPr>
      <w:tcPr>
        <w:shd w:val="clear" w:color="F3BA02" w:themeColor="accent3" w:themeTint="FE" w:fill="auto"/>
      </w:tcPr>
    </w:tblStylePr>
    <w:tblStylePr w:type="lastRow">
      <w:rPr>
        <w:rFonts w:ascii="Arial" w:hAnsi="Arial"/>
        <w:color w:val="F2F2F2"/>
        <w:sz w:val="22"/>
      </w:rPr>
      <w:tcPr>
        <w:shd w:val="clear" w:color="F3BA02" w:themeColor="accent3" w:themeTint="FE" w:fill="auto"/>
      </w:tcPr>
    </w:tblStylePr>
    <w:tblStylePr w:type="firstCol">
      <w:rPr>
        <w:rFonts w:ascii="Arial" w:hAnsi="Arial"/>
        <w:color w:val="F2F2F2"/>
        <w:sz w:val="22"/>
      </w:rPr>
      <w:tcPr>
        <w:shd w:val="clear" w:color="F3BA02" w:themeColor="accent3" w:themeTint="FE" w:fill="auto"/>
      </w:tcPr>
    </w:tblStylePr>
    <w:tblStylePr w:type="lastCol">
      <w:rPr>
        <w:rFonts w:ascii="Arial" w:hAnsi="Arial"/>
        <w:color w:val="F2F2F2"/>
        <w:sz w:val="22"/>
      </w:rPr>
      <w:tcPr>
        <w:shd w:val="clear" w:color="F3BA02" w:themeColor="accent3" w:themeTint="FE" w:fill="auto"/>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auto"/>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auto"/>
      </w:tcPr>
    </w:tblStylePr>
  </w:style>
  <w:style w:type="table" w:customStyle="1" w:styleId="193">
    <w:name w:val="Bordered &amp; Lined - Accent 4"/>
    <w:basedOn w:val="33"/>
    <w:qFormat/>
    <w:uiPriority w:val="99"/>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CellMar>
        <w:top w:w="0" w:type="dxa"/>
        <w:left w:w="108" w:type="dxa"/>
        <w:bottom w:w="0" w:type="dxa"/>
        <w:right w:w="108" w:type="dxa"/>
      </w:tblCellMar>
    </w:tblPr>
    <w:tblStylePr w:type="firstRow">
      <w:rPr>
        <w:rFonts w:ascii="Arial" w:hAnsi="Arial"/>
        <w:color w:val="F2F2F2"/>
        <w:sz w:val="22"/>
      </w:rPr>
      <w:tcPr>
        <w:shd w:val="clear" w:color="ABD78C" w:themeColor="accent4" w:themeTint="9A" w:fill="auto"/>
      </w:tcPr>
    </w:tblStylePr>
    <w:tblStylePr w:type="lastRow">
      <w:rPr>
        <w:rFonts w:ascii="Arial" w:hAnsi="Arial"/>
        <w:color w:val="F2F2F2"/>
        <w:sz w:val="22"/>
      </w:rPr>
      <w:tcPr>
        <w:shd w:val="clear" w:color="ABD78C" w:themeColor="accent4" w:themeTint="9A" w:fill="auto"/>
      </w:tcPr>
    </w:tblStylePr>
    <w:tblStylePr w:type="firstCol">
      <w:rPr>
        <w:rFonts w:ascii="Arial" w:hAnsi="Arial"/>
        <w:color w:val="F2F2F2"/>
        <w:sz w:val="22"/>
      </w:rPr>
      <w:tcPr>
        <w:shd w:val="clear" w:color="ABD78C" w:themeColor="accent4" w:themeTint="9A" w:fill="auto"/>
      </w:tcPr>
    </w:tblStylePr>
    <w:tblStylePr w:type="lastCol">
      <w:rPr>
        <w:rFonts w:ascii="Arial" w:hAnsi="Arial"/>
        <w:color w:val="F2F2F2"/>
        <w:sz w:val="22"/>
      </w:rPr>
      <w:tcPr>
        <w:shd w:val="clear" w:color="ABD78C" w:themeColor="accent4" w:themeTint="9A" w:fill="auto"/>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auto"/>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auto"/>
      </w:tcPr>
    </w:tblStylePr>
  </w:style>
  <w:style w:type="table" w:customStyle="1" w:styleId="194">
    <w:name w:val="Bordered &amp; Lined - Accent 5"/>
    <w:basedOn w:val="33"/>
    <w:qFormat/>
    <w:uiPriority w:val="99"/>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CellMar>
        <w:top w:w="0" w:type="dxa"/>
        <w:left w:w="108" w:type="dxa"/>
        <w:bottom w:w="0" w:type="dxa"/>
        <w:right w:w="108" w:type="dxa"/>
      </w:tblCellMar>
    </w:tblPr>
    <w:tblStylePr w:type="firstRow">
      <w:rPr>
        <w:rFonts w:ascii="Arial" w:hAnsi="Arial"/>
        <w:color w:val="F2F2F2"/>
        <w:sz w:val="22"/>
      </w:rPr>
      <w:tcPr>
        <w:shd w:val="clear" w:color="30C0B4" w:themeColor="accent5" w:fill="auto"/>
      </w:tcPr>
    </w:tblStylePr>
    <w:tblStylePr w:type="lastRow">
      <w:rPr>
        <w:rFonts w:ascii="Arial" w:hAnsi="Arial"/>
        <w:color w:val="F2F2F2"/>
        <w:sz w:val="22"/>
      </w:rPr>
      <w:tcPr>
        <w:shd w:val="clear" w:color="30C0B4" w:themeColor="accent5" w:fill="auto"/>
      </w:tcPr>
    </w:tblStylePr>
    <w:tblStylePr w:type="firstCol">
      <w:rPr>
        <w:rFonts w:ascii="Arial" w:hAnsi="Arial"/>
        <w:color w:val="F2F2F2"/>
        <w:sz w:val="22"/>
      </w:rPr>
      <w:tcPr>
        <w:shd w:val="clear" w:color="30C0B4" w:themeColor="accent5" w:fill="auto"/>
      </w:tcPr>
    </w:tblStylePr>
    <w:tblStylePr w:type="lastCol">
      <w:rPr>
        <w:rFonts w:ascii="Arial" w:hAnsi="Arial"/>
        <w:color w:val="F2F2F2"/>
        <w:sz w:val="22"/>
      </w:rPr>
      <w:tcPr>
        <w:shd w:val="clear" w:color="30C0B4" w:themeColor="accent5" w:fill="auto"/>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auto"/>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auto"/>
      </w:tcPr>
    </w:tblStylePr>
  </w:style>
  <w:style w:type="table" w:customStyle="1" w:styleId="195">
    <w:name w:val="Bordered &amp; Lined - Accent 6"/>
    <w:basedOn w:val="33"/>
    <w:qFormat/>
    <w:uiPriority w:val="99"/>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CellMar>
        <w:top w:w="0" w:type="dxa"/>
        <w:left w:w="108" w:type="dxa"/>
        <w:bottom w:w="0" w:type="dxa"/>
        <w:right w:w="108" w:type="dxa"/>
      </w:tblCellMar>
    </w:tblPr>
    <w:tblStylePr w:type="firstRow">
      <w:rPr>
        <w:rFonts w:ascii="Arial" w:hAnsi="Arial"/>
        <w:color w:val="F2F2F2"/>
        <w:sz w:val="22"/>
      </w:rPr>
      <w:tcPr>
        <w:shd w:val="clear" w:color="E54C5E" w:themeColor="accent6" w:fill="auto"/>
      </w:tcPr>
    </w:tblStylePr>
    <w:tblStylePr w:type="lastRow">
      <w:rPr>
        <w:rFonts w:ascii="Arial" w:hAnsi="Arial"/>
        <w:color w:val="F2F2F2"/>
        <w:sz w:val="22"/>
      </w:rPr>
      <w:tcPr>
        <w:shd w:val="clear" w:color="E54C5E" w:themeColor="accent6" w:fill="auto"/>
      </w:tcPr>
    </w:tblStylePr>
    <w:tblStylePr w:type="firstCol">
      <w:rPr>
        <w:rFonts w:ascii="Arial" w:hAnsi="Arial"/>
        <w:color w:val="F2F2F2"/>
        <w:sz w:val="22"/>
      </w:rPr>
      <w:tcPr>
        <w:shd w:val="clear" w:color="E54C5E" w:themeColor="accent6" w:fill="auto"/>
      </w:tcPr>
    </w:tblStylePr>
    <w:tblStylePr w:type="lastCol">
      <w:rPr>
        <w:rFonts w:ascii="Arial" w:hAnsi="Arial"/>
        <w:color w:val="F2F2F2"/>
        <w:sz w:val="22"/>
      </w:rPr>
      <w:tcPr>
        <w:shd w:val="clear" w:color="E54C5E" w:themeColor="accent6" w:fill="auto"/>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auto"/>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auto"/>
      </w:tcPr>
    </w:tblStylePr>
  </w:style>
  <w:style w:type="table" w:customStyle="1" w:styleId="196">
    <w:name w:val="Bordered"/>
    <w:basedOn w:val="33"/>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108" w:type="dxa"/>
        <w:bottom w:w="0" w:type="dxa"/>
        <w:right w:w="108"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7">
    <w:name w:val="Bordered - Accent 1"/>
    <w:basedOn w:val="33"/>
    <w:qFormat/>
    <w:uiPriority w:val="99"/>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874CB" w:themeColor="accent1" w:sz="12" w:space="0"/>
        </w:tcBorders>
      </w:tc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198">
    <w:name w:val="Bordered - Accent 2"/>
    <w:basedOn w:val="33"/>
    <w:qFormat/>
    <w:uiPriority w:val="99"/>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483" w:themeColor="accent2" w:themeTint="97" w:sz="12" w:space="0"/>
        </w:tcBorders>
      </w:tc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199">
    <w:name w:val="Bordered - Accent 3"/>
    <w:basedOn w:val="33"/>
    <w:qFormat/>
    <w:uiPriority w:val="99"/>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DD961" w:themeColor="accent3" w:themeTint="98" w:sz="12" w:space="0"/>
        </w:tcBorders>
      </w:tc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200">
    <w:name w:val="Bordered - Accent 4"/>
    <w:basedOn w:val="33"/>
    <w:qFormat/>
    <w:uiPriority w:val="99"/>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BD78C" w:themeColor="accent4" w:themeTint="9A" w:sz="12" w:space="0"/>
        </w:tcBorders>
      </w:tc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201">
    <w:name w:val="Bordered - Accent 5"/>
    <w:basedOn w:val="33"/>
    <w:qFormat/>
    <w:uiPriority w:val="99"/>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CDED6" w:themeColor="accent5" w:themeTint="9A" w:sz="12" w:space="0"/>
        </w:tcBorders>
      </w:tc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202">
    <w:name w:val="Bordered - Accent 6"/>
    <w:basedOn w:val="33"/>
    <w:qFormat/>
    <w:uiPriority w:val="99"/>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EF949F" w:themeColor="accent6" w:themeTint="98" w:sz="12" w:space="0"/>
        </w:tcBorders>
      </w:tc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character" w:customStyle="1" w:styleId="203">
    <w:name w:val="脚注文本 Char"/>
    <w:link w:val="26"/>
    <w:qFormat/>
    <w:uiPriority w:val="99"/>
    <w:rPr>
      <w:sz w:val="18"/>
    </w:rPr>
  </w:style>
  <w:style w:type="character" w:customStyle="1" w:styleId="204">
    <w:name w:val="尾注文本 Char"/>
    <w:link w:val="19"/>
    <w:qFormat/>
    <w:uiPriority w:val="99"/>
    <w:rPr>
      <w:sz w:val="20"/>
    </w:rPr>
  </w:style>
  <w:style w:type="paragraph" w:customStyle="1" w:styleId="205">
    <w:name w:val="TOC Heading"/>
    <w:unhideWhenUsed/>
    <w:qFormat/>
    <w:uiPriority w:val="39"/>
    <w:rPr>
      <w:rFonts w:hint="default" w:asciiTheme="minorHAnsi" w:hAnsiTheme="minorHAnsi" w:eastAsiaTheme="minorEastAsia" w:cstheme="minorBidi"/>
      <w:lang w:val="en-US" w:eastAsia="zh-CN" w:bidi="ar-SA"/>
    </w:rPr>
  </w:style>
  <w:style w:type="paragraph" w:customStyle="1" w:styleId="206">
    <w:name w:val="列出段落1"/>
    <w:basedOn w:val="1"/>
    <w:qFormat/>
    <w:uiPriority w:val="34"/>
    <w:pPr>
      <w:ind w:firstLine="420"/>
    </w:pPr>
    <w:rPr>
      <w:rFonts w:asciiTheme="minorHAnsi" w:hAnsiTheme="minorHAnsi" w:eastAsiaTheme="minorEastAsia" w:cstheme="minorBidi"/>
      <w:sz w:val="22"/>
      <w:szCs w:val="22"/>
    </w:rPr>
  </w:style>
  <w:style w:type="paragraph" w:customStyle="1" w:styleId="207">
    <w:name w:val="列出段落3"/>
    <w:basedOn w:val="1"/>
    <w:qFormat/>
    <w:uiPriority w:val="99"/>
    <w:pPr>
      <w:ind w:firstLine="420"/>
    </w:pPr>
  </w:style>
  <w:style w:type="character" w:customStyle="1" w:styleId="208">
    <w:name w:val="批注框文本 Char"/>
    <w:basedOn w:val="35"/>
    <w:link w:val="20"/>
    <w:semiHidden/>
    <w:qFormat/>
    <w:uiPriority w:val="99"/>
    <w:rPr>
      <w:rFonts w:ascii="Times New Roman" w:hAnsi="Times New Roman" w:eastAsia="宋体" w:cs="Times New Roman"/>
      <w:sz w:val="18"/>
      <w:szCs w:val="18"/>
    </w:rPr>
  </w:style>
  <w:style w:type="character" w:customStyle="1" w:styleId="209">
    <w:name w:val="批注文字 Char"/>
    <w:basedOn w:val="35"/>
    <w:link w:val="13"/>
    <w:qFormat/>
    <w:uiPriority w:val="0"/>
    <w:rPr>
      <w:rFonts w:ascii="Times New Roman" w:hAnsi="Times New Roman" w:eastAsia="宋体" w:cs="Times New Roman"/>
      <w:sz w:val="21"/>
    </w:rPr>
  </w:style>
  <w:style w:type="character" w:customStyle="1" w:styleId="210">
    <w:name w:val="批注主题 Char"/>
    <w:basedOn w:val="209"/>
    <w:link w:val="32"/>
    <w:semiHidden/>
    <w:qFormat/>
    <w:uiPriority w:val="99"/>
    <w:rPr>
      <w:rFonts w:ascii="Times New Roman" w:hAnsi="Times New Roman" w:eastAsia="宋体" w:cs="Times New Roman"/>
      <w:b/>
      <w:bCs/>
      <w:sz w:val="21"/>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3" Type="http://schemas.microsoft.com/office/2011/relationships/people" Target="people.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5D0AEA6B-E499-4EEF-98A3-AFBB261C493E}">
  <ds:schemaRefs/>
</ds:datastoreItem>
</file>

<file path=docProps/app.xml><?xml version="1.0" encoding="utf-8"?>
<Properties xmlns="http://schemas.openxmlformats.org/officeDocument/2006/extended-properties" xmlns:vt="http://schemas.openxmlformats.org/officeDocument/2006/docPropsVTypes">
  <Template>Normal.dotm</Template>
  <Pages>36</Pages>
  <TotalTime>108</TotalTime>
  <ScaleCrop>false</ScaleCrop>
  <LinksUpToDate>false</LinksUpToDate>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2025-04-15T09:55:00Z</dcterms:created>
  <dc:creator>sunyina</dc:creator>
  <cp:lastModifiedBy>邓喆</cp:lastModifiedBy>
  <dcterms:modified xsi:type="dcterms:W3CDTF">2026-07-20T08:20:34Z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E2E5BFE6594A42258B9D83D8272D69E5_13</vt:lpwstr>
  </property>
</Properties>
</file>