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jc w:val="center"/>
        <w:rPr>
          <w:rFonts w:cs="Arial" w:asciiTheme="minorEastAsia" w:hAnsiTheme="minorEastAsia" w:eastAsiaTheme="minorEastAsia"/>
          <w:b/>
          <w:sz w:val="44"/>
        </w:rPr>
      </w:pPr>
      <w:r>
        <w:rPr>
          <w:rFonts w:hint="eastAsia" w:cs="Arial" w:asciiTheme="minorEastAsia" w:hAnsiTheme="minorEastAsia" w:eastAsiaTheme="minorEastAsia"/>
          <w:b/>
          <w:sz w:val="44"/>
        </w:rPr>
        <w:t>南方稳合优选3个月持有期混合型基金中基金（FOF）托管协议</w:t>
      </w: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asciiTheme="minorEastAsia" w:hAnsiTheme="minorEastAsia" w:eastAsiaTheme="minorEastAsia"/>
        </w:rPr>
      </w:pPr>
    </w:p>
    <w:p>
      <w:pPr>
        <w:spacing w:line="480" w:lineRule="exact"/>
        <w:rPr>
          <w:rFonts w:cs="Arial" w:asciiTheme="minorEastAsia" w:hAnsiTheme="minorEastAsia" w:eastAsiaTheme="minorEastAsia"/>
          <w:bCs/>
          <w:sz w:val="28"/>
        </w:rPr>
      </w:pPr>
      <w:r>
        <w:rPr>
          <w:rFonts w:hint="eastAsia" w:cs="Arial" w:asciiTheme="minorEastAsia" w:hAnsiTheme="minorEastAsia" w:eastAsiaTheme="minorEastAsia"/>
          <w:sz w:val="24"/>
        </w:rPr>
        <w:t xml:space="preserve">                 </w:t>
      </w:r>
      <w:r>
        <w:rPr>
          <w:rFonts w:hint="eastAsia" w:cs="Arial" w:asciiTheme="minorEastAsia" w:hAnsiTheme="minorEastAsia" w:eastAsiaTheme="minorEastAsia"/>
          <w:bCs/>
          <w:sz w:val="28"/>
        </w:rPr>
        <w:t>基金管理人：南方基金管理股份有限公司</w:t>
      </w:r>
    </w:p>
    <w:p>
      <w:pPr>
        <w:spacing w:line="480" w:lineRule="exact"/>
        <w:rPr>
          <w:rFonts w:cs="Arial" w:asciiTheme="minorEastAsia" w:hAnsiTheme="minorEastAsia" w:eastAsiaTheme="minorEastAsia"/>
          <w:bCs/>
          <w:sz w:val="28"/>
        </w:rPr>
      </w:pPr>
      <w:r>
        <w:rPr>
          <w:rFonts w:hint="eastAsia" w:cs="Arial" w:asciiTheme="minorEastAsia" w:hAnsiTheme="minorEastAsia" w:eastAsiaTheme="minorEastAsia"/>
          <w:bCs/>
          <w:sz w:val="28"/>
        </w:rPr>
        <w:t xml:space="preserve">                 基金托管人：徽商银行股份有限公司</w:t>
      </w:r>
    </w:p>
    <w:p>
      <w:pPr>
        <w:spacing w:line="480" w:lineRule="exact"/>
        <w:rPr>
          <w:rFonts w:cs="Arial" w:asciiTheme="minorEastAsia" w:hAnsiTheme="minorEastAsia" w:eastAsiaTheme="minorEastAsia"/>
          <w:sz w:val="24"/>
        </w:rPr>
      </w:pPr>
    </w:p>
    <w:p>
      <w:pPr>
        <w:spacing w:line="480" w:lineRule="exact"/>
        <w:rPr>
          <w:rFonts w:cs="Arial" w:asciiTheme="minorEastAsia" w:hAnsiTheme="minorEastAsia" w:eastAsiaTheme="minorEastAsia"/>
          <w:sz w:val="24"/>
        </w:rPr>
      </w:pPr>
    </w:p>
    <w:p>
      <w:pPr>
        <w:spacing w:line="480" w:lineRule="exact"/>
        <w:rPr>
          <w:rFonts w:cs="Arial" w:asciiTheme="minorEastAsia" w:hAnsiTheme="minorEastAsia" w:eastAsiaTheme="minorEastAsia"/>
          <w:sz w:val="24"/>
        </w:rPr>
      </w:pPr>
    </w:p>
    <w:p>
      <w:pPr>
        <w:spacing w:line="480" w:lineRule="exact"/>
        <w:rPr>
          <w:rFonts w:cs="Arial" w:asciiTheme="minorEastAsia" w:hAnsiTheme="minorEastAsia" w:eastAsiaTheme="minorEastAsia"/>
          <w:sz w:val="24"/>
        </w:rPr>
      </w:pPr>
    </w:p>
    <w:p>
      <w:pPr>
        <w:spacing w:line="480" w:lineRule="exact"/>
        <w:rPr>
          <w:rFonts w:cs="Arial" w:asciiTheme="minorEastAsia" w:hAnsiTheme="minorEastAsia" w:eastAsiaTheme="minorEastAsia"/>
          <w:sz w:val="24"/>
        </w:rPr>
      </w:pPr>
      <w:r>
        <w:rPr>
          <w:rFonts w:hint="eastAsia" w:cs="Arial" w:asciiTheme="minorEastAsia" w:hAnsiTheme="minorEastAsia" w:eastAsiaTheme="minorEastAsia"/>
          <w:sz w:val="24"/>
        </w:rPr>
        <w:t xml:space="preserve">                            </w:t>
      </w:r>
    </w:p>
    <w:p>
      <w:pPr>
        <w:adjustRightInd w:val="0"/>
        <w:snapToGrid w:val="0"/>
        <w:spacing w:line="480" w:lineRule="exact"/>
        <w:jc w:val="center"/>
        <w:rPr>
          <w:rFonts w:cs="Arial" w:asciiTheme="minorEastAsia" w:hAnsiTheme="minorEastAsia" w:eastAsiaTheme="minorEastAsia"/>
          <w:bCs/>
          <w:sz w:val="24"/>
        </w:rPr>
        <w:sectPr>
          <w:footerReference r:id="rId3" w:type="default"/>
          <w:footerReference r:id="rId4" w:type="even"/>
          <w:pgSz w:w="11906" w:h="16838"/>
          <w:pgMar w:top="1418" w:right="1701" w:bottom="1418" w:left="1701" w:header="851" w:footer="992" w:gutter="0"/>
          <w:cols w:space="425" w:num="1"/>
          <w:docGrid w:type="lines" w:linePitch="312" w:charSpace="0"/>
        </w:sectPr>
      </w:pPr>
    </w:p>
    <w:p>
      <w:pPr>
        <w:spacing w:line="480" w:lineRule="exact"/>
        <w:jc w:val="center"/>
        <w:rPr>
          <w:rFonts w:asciiTheme="minorEastAsia" w:hAnsiTheme="minorEastAsia" w:eastAsiaTheme="minorEastAsia"/>
          <w:b/>
          <w:bCs/>
          <w:sz w:val="30"/>
        </w:rPr>
      </w:pPr>
      <w:r>
        <w:rPr>
          <w:rFonts w:hint="eastAsia" w:asciiTheme="minorEastAsia" w:hAnsiTheme="minorEastAsia" w:eastAsiaTheme="minorEastAsia"/>
          <w:b/>
          <w:bCs/>
          <w:sz w:val="30"/>
        </w:rPr>
        <w:t>目    录</w:t>
      </w:r>
    </w:p>
    <w:p>
      <w:pPr>
        <w:pStyle w:val="20"/>
        <w:tabs>
          <w:tab w:val="right" w:leader="dot" w:pos="8494"/>
        </w:tabs>
        <w:spacing w:line="480" w:lineRule="exact"/>
        <w:rPr>
          <w:rFonts w:asciiTheme="minorEastAsia" w:hAnsiTheme="minorEastAsia" w:eastAsiaTheme="minorEastAsia"/>
          <w:sz w:val="28"/>
        </w:rPr>
      </w:pP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TOC \o "1-2" \h \z </w:instrText>
      </w:r>
      <w:r>
        <w:rPr>
          <w:rFonts w:hint="eastAsia" w:asciiTheme="minorEastAsia" w:hAnsiTheme="minorEastAsia" w:eastAsiaTheme="minorEastAsia"/>
          <w:sz w:val="28"/>
        </w:rPr>
        <w:fldChar w:fldCharType="separate"/>
      </w:r>
      <w:r>
        <w:fldChar w:fldCharType="begin"/>
      </w:r>
      <w:r>
        <w:instrText xml:space="preserve"> HYPERLINK \l "_Toc124325885" </w:instrText>
      </w:r>
      <w:r>
        <w:fldChar w:fldCharType="separate"/>
      </w:r>
      <w:r>
        <w:rPr>
          <w:rStyle w:val="30"/>
          <w:rFonts w:hint="eastAsia" w:asciiTheme="minorEastAsia" w:hAnsiTheme="minorEastAsia" w:eastAsiaTheme="minorEastAsia"/>
          <w:color w:val="auto"/>
          <w:sz w:val="28"/>
          <w:szCs w:val="32"/>
          <w:u w:val="none"/>
        </w:rPr>
        <w:t>一、基金托管协议当事人</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_Toc124325885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4</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"_Toc124325886" </w:instrText>
      </w:r>
      <w:r>
        <w:fldChar w:fldCharType="separate"/>
      </w:r>
      <w:r>
        <w:rPr>
          <w:rStyle w:val="30"/>
          <w:rFonts w:hint="eastAsia" w:asciiTheme="minorEastAsia" w:hAnsiTheme="minorEastAsia" w:eastAsiaTheme="minorEastAsia"/>
          <w:color w:val="auto"/>
          <w:sz w:val="28"/>
          <w:szCs w:val="32"/>
          <w:u w:val="none"/>
        </w:rPr>
        <w:t>二、基金托管协议的依据、目的和原则</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_Toc124325886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4</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"_Toc124325887" </w:instrText>
      </w:r>
      <w:r>
        <w:fldChar w:fldCharType="separate"/>
      </w:r>
      <w:r>
        <w:rPr>
          <w:rStyle w:val="30"/>
          <w:rFonts w:hint="eastAsia" w:asciiTheme="minorEastAsia" w:hAnsiTheme="minorEastAsia" w:eastAsiaTheme="minorEastAsia"/>
          <w:color w:val="auto"/>
          <w:sz w:val="28"/>
          <w:szCs w:val="32"/>
          <w:u w:val="none"/>
        </w:rPr>
        <w:t>三、基金托管人对基金管理人的业务监督和核查</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_Toc124325887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6</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"_Toc124325888" </w:instrText>
      </w:r>
      <w:r>
        <w:fldChar w:fldCharType="separate"/>
      </w:r>
      <w:r>
        <w:rPr>
          <w:rStyle w:val="30"/>
          <w:rFonts w:hint="eastAsia" w:asciiTheme="minorEastAsia" w:hAnsiTheme="minorEastAsia" w:eastAsiaTheme="minorEastAsia"/>
          <w:color w:val="auto"/>
          <w:sz w:val="28"/>
          <w:szCs w:val="32"/>
          <w:u w:val="none"/>
        </w:rPr>
        <w:t>四、基金管理人对基金托管人的业务核查</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_Toc124325888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13</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"_Toc124325889" </w:instrText>
      </w:r>
      <w:r>
        <w:fldChar w:fldCharType="separate"/>
      </w:r>
      <w:r>
        <w:rPr>
          <w:rStyle w:val="30"/>
          <w:rFonts w:hint="eastAsia" w:asciiTheme="minorEastAsia" w:hAnsiTheme="minorEastAsia" w:eastAsiaTheme="minorEastAsia"/>
          <w:color w:val="auto"/>
          <w:sz w:val="28"/>
          <w:szCs w:val="32"/>
          <w:u w:val="none"/>
        </w:rPr>
        <w:t>五、基金财产的保管</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_Toc124325889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14</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"_Toc124325890" </w:instrText>
      </w:r>
      <w:r>
        <w:fldChar w:fldCharType="separate"/>
      </w:r>
      <w:r>
        <w:rPr>
          <w:rStyle w:val="30"/>
          <w:rFonts w:hint="eastAsia" w:asciiTheme="minorEastAsia" w:hAnsiTheme="minorEastAsia" w:eastAsiaTheme="minorEastAsia"/>
          <w:color w:val="auto"/>
          <w:sz w:val="28"/>
          <w:szCs w:val="32"/>
          <w:u w:val="none"/>
        </w:rPr>
        <w:t>六、指令的发送、确认及执行</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_Toc124325890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18</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"_Toc124325891" </w:instrText>
      </w:r>
      <w:r>
        <w:fldChar w:fldCharType="separate"/>
      </w:r>
      <w:r>
        <w:rPr>
          <w:rStyle w:val="30"/>
          <w:rFonts w:hint="eastAsia" w:asciiTheme="minorEastAsia" w:hAnsiTheme="minorEastAsia" w:eastAsiaTheme="minorEastAsia"/>
          <w:color w:val="auto"/>
          <w:sz w:val="28"/>
          <w:szCs w:val="32"/>
          <w:u w:val="none"/>
        </w:rPr>
        <w:t>七、交易及清算交收安排</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_Toc124325891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21</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"_Toc124325892" </w:instrText>
      </w:r>
      <w:r>
        <w:fldChar w:fldCharType="separate"/>
      </w:r>
      <w:r>
        <w:rPr>
          <w:rStyle w:val="30"/>
          <w:rFonts w:hint="eastAsia" w:asciiTheme="minorEastAsia" w:hAnsiTheme="minorEastAsia" w:eastAsiaTheme="minorEastAsia"/>
          <w:color w:val="auto"/>
          <w:sz w:val="28"/>
          <w:szCs w:val="32"/>
          <w:u w:val="none"/>
        </w:rPr>
        <w:t>八、基金资产净值计算和会计核算</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_Toc124325892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26</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"_Toc124325893" </w:instrText>
      </w:r>
      <w:r>
        <w:fldChar w:fldCharType="separate"/>
      </w:r>
      <w:r>
        <w:rPr>
          <w:rStyle w:val="30"/>
          <w:rFonts w:hint="eastAsia" w:asciiTheme="minorEastAsia" w:hAnsiTheme="minorEastAsia" w:eastAsiaTheme="minorEastAsia"/>
          <w:color w:val="auto"/>
          <w:sz w:val="28"/>
          <w:szCs w:val="32"/>
          <w:u w:val="none"/>
        </w:rPr>
        <w:t>九、基金收益分配</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_Toc124325893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34</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"_Toc124325894" </w:instrText>
      </w:r>
      <w:r>
        <w:fldChar w:fldCharType="separate"/>
      </w:r>
      <w:r>
        <w:rPr>
          <w:rStyle w:val="30"/>
          <w:rFonts w:hint="eastAsia" w:asciiTheme="minorEastAsia" w:hAnsiTheme="minorEastAsia" w:eastAsiaTheme="minorEastAsia"/>
          <w:color w:val="auto"/>
          <w:sz w:val="28"/>
          <w:szCs w:val="32"/>
          <w:u w:val="none"/>
        </w:rPr>
        <w:t>十、基金信息披露</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_Toc124325894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35</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"_Toc124325895" </w:instrText>
      </w:r>
      <w:r>
        <w:fldChar w:fldCharType="separate"/>
      </w:r>
      <w:r>
        <w:rPr>
          <w:rStyle w:val="30"/>
          <w:rFonts w:hint="eastAsia" w:asciiTheme="minorEastAsia" w:hAnsiTheme="minorEastAsia" w:eastAsiaTheme="minorEastAsia"/>
          <w:color w:val="auto"/>
          <w:sz w:val="28"/>
          <w:szCs w:val="32"/>
          <w:u w:val="none"/>
        </w:rPr>
        <w:t>十一、基金费用</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_Toc124325895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37</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"_Toc124325896" </w:instrText>
      </w:r>
      <w:r>
        <w:fldChar w:fldCharType="separate"/>
      </w:r>
      <w:r>
        <w:rPr>
          <w:rStyle w:val="30"/>
          <w:rFonts w:hint="eastAsia" w:asciiTheme="minorEastAsia" w:hAnsiTheme="minorEastAsia" w:eastAsiaTheme="minorEastAsia"/>
          <w:color w:val="auto"/>
          <w:sz w:val="28"/>
          <w:szCs w:val="32"/>
          <w:u w:val="none"/>
        </w:rPr>
        <w:t>十二、基金份额持有人名册的保管</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_Toc124325896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40</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"_Toc124325897" </w:instrText>
      </w:r>
      <w:r>
        <w:fldChar w:fldCharType="separate"/>
      </w:r>
      <w:r>
        <w:rPr>
          <w:rStyle w:val="30"/>
          <w:rFonts w:hint="eastAsia" w:asciiTheme="minorEastAsia" w:hAnsiTheme="minorEastAsia" w:eastAsiaTheme="minorEastAsia"/>
          <w:color w:val="auto"/>
          <w:sz w:val="28"/>
          <w:szCs w:val="32"/>
          <w:u w:val="none"/>
        </w:rPr>
        <w:t>十三、基金有关文件档案的保存</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_Toc124325897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41</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"_Toc124325898" </w:instrText>
      </w:r>
      <w:r>
        <w:fldChar w:fldCharType="separate"/>
      </w:r>
      <w:r>
        <w:rPr>
          <w:rStyle w:val="30"/>
          <w:rFonts w:hint="eastAsia" w:asciiTheme="minorEastAsia" w:hAnsiTheme="minorEastAsia" w:eastAsiaTheme="minorEastAsia"/>
          <w:color w:val="auto"/>
          <w:sz w:val="28"/>
          <w:szCs w:val="32"/>
          <w:u w:val="none"/>
        </w:rPr>
        <w:t>十四、基金管理人和基金托管人的更换</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_Toc124325898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42</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"_Toc124325899" </w:instrText>
      </w:r>
      <w:r>
        <w:fldChar w:fldCharType="separate"/>
      </w:r>
      <w:r>
        <w:rPr>
          <w:rStyle w:val="30"/>
          <w:rFonts w:hint="eastAsia" w:asciiTheme="minorEastAsia" w:hAnsiTheme="minorEastAsia" w:eastAsiaTheme="minorEastAsia"/>
          <w:color w:val="auto"/>
          <w:sz w:val="28"/>
          <w:szCs w:val="32"/>
          <w:u w:val="none"/>
        </w:rPr>
        <w:t>十五、禁止行为</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_Toc124325899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45</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"_Toc124325900" </w:instrText>
      </w:r>
      <w:r>
        <w:fldChar w:fldCharType="separate"/>
      </w:r>
      <w:r>
        <w:rPr>
          <w:rStyle w:val="30"/>
          <w:rFonts w:hint="eastAsia" w:asciiTheme="minorEastAsia" w:hAnsiTheme="minorEastAsia" w:eastAsiaTheme="minorEastAsia"/>
          <w:color w:val="auto"/>
          <w:sz w:val="28"/>
          <w:szCs w:val="32"/>
          <w:u w:val="none"/>
        </w:rPr>
        <w:t>十六、托管协议的变更、终止与基金财产的清算</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_Toc124325900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46</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"_Toc124325901" </w:instrText>
      </w:r>
      <w:r>
        <w:fldChar w:fldCharType="separate"/>
      </w:r>
      <w:r>
        <w:rPr>
          <w:rStyle w:val="30"/>
          <w:rFonts w:hint="eastAsia" w:asciiTheme="minorEastAsia" w:hAnsiTheme="minorEastAsia" w:eastAsiaTheme="minorEastAsia"/>
          <w:color w:val="auto"/>
          <w:sz w:val="28"/>
          <w:szCs w:val="32"/>
          <w:u w:val="none"/>
        </w:rPr>
        <w:t>十七、违约责任</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_Toc124325901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48</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"_Toc124325902" </w:instrText>
      </w:r>
      <w:r>
        <w:fldChar w:fldCharType="separate"/>
      </w:r>
      <w:r>
        <w:rPr>
          <w:rStyle w:val="30"/>
          <w:rFonts w:hint="eastAsia" w:asciiTheme="minorEastAsia" w:hAnsiTheme="minorEastAsia" w:eastAsiaTheme="minorEastAsia"/>
          <w:color w:val="auto"/>
          <w:sz w:val="28"/>
          <w:szCs w:val="32"/>
          <w:u w:val="none"/>
        </w:rPr>
        <w:t>十八、争议解决方式</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_Toc124325902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49</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"_Toc124325903" </w:instrText>
      </w:r>
      <w:r>
        <w:fldChar w:fldCharType="separate"/>
      </w:r>
      <w:r>
        <w:rPr>
          <w:rStyle w:val="30"/>
          <w:rFonts w:hint="eastAsia" w:asciiTheme="minorEastAsia" w:hAnsiTheme="minorEastAsia" w:eastAsiaTheme="minorEastAsia"/>
          <w:color w:val="auto"/>
          <w:sz w:val="28"/>
          <w:szCs w:val="32"/>
          <w:u w:val="none"/>
        </w:rPr>
        <w:t>十九、托管协议的效力</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_Toc124325903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50</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"_Toc124325904" </w:instrText>
      </w:r>
      <w:r>
        <w:fldChar w:fldCharType="separate"/>
      </w:r>
      <w:r>
        <w:rPr>
          <w:rStyle w:val="30"/>
          <w:rFonts w:hint="eastAsia" w:asciiTheme="minorEastAsia" w:hAnsiTheme="minorEastAsia" w:eastAsiaTheme="minorEastAsia"/>
          <w:color w:val="auto"/>
          <w:sz w:val="28"/>
          <w:szCs w:val="32"/>
          <w:u w:val="none"/>
        </w:rPr>
        <w:t>二十、其他事项</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_Toc124325904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51</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pStyle w:val="20"/>
        <w:tabs>
          <w:tab w:val="right" w:leader="dot" w:pos="8494"/>
        </w:tabs>
        <w:spacing w:line="480" w:lineRule="exact"/>
        <w:rPr>
          <w:rFonts w:asciiTheme="minorEastAsia" w:hAnsiTheme="minorEastAsia" w:eastAsiaTheme="minorEastAsia"/>
          <w:sz w:val="28"/>
        </w:rPr>
      </w:pPr>
      <w:r>
        <w:fldChar w:fldCharType="begin"/>
      </w:r>
      <w:r>
        <w:instrText xml:space="preserve"> HYPERLINK \l "_Toc124325905" </w:instrText>
      </w:r>
      <w:r>
        <w:fldChar w:fldCharType="separate"/>
      </w:r>
      <w:r>
        <w:rPr>
          <w:rStyle w:val="30"/>
          <w:rFonts w:hint="eastAsia" w:asciiTheme="minorEastAsia" w:hAnsiTheme="minorEastAsia" w:eastAsiaTheme="minorEastAsia"/>
          <w:color w:val="auto"/>
          <w:sz w:val="28"/>
          <w:szCs w:val="32"/>
          <w:u w:val="none"/>
        </w:rPr>
        <w:t>二十一、托管协议的签订</w:t>
      </w:r>
      <w:r>
        <w:rPr>
          <w:rFonts w:hint="eastAsia" w:asciiTheme="minorEastAsia" w:hAnsiTheme="minorEastAsia" w:eastAsiaTheme="minorEastAsia"/>
          <w:sz w:val="28"/>
        </w:rPr>
        <w:tab/>
      </w:r>
      <w:r>
        <w:rPr>
          <w:rFonts w:hint="eastAsia" w:asciiTheme="minorEastAsia" w:hAnsiTheme="minorEastAsia" w:eastAsiaTheme="minorEastAsia"/>
          <w:sz w:val="28"/>
        </w:rPr>
        <w:fldChar w:fldCharType="begin"/>
      </w:r>
      <w:r>
        <w:rPr>
          <w:rFonts w:hint="eastAsia" w:asciiTheme="minorEastAsia" w:hAnsiTheme="minorEastAsia" w:eastAsiaTheme="minorEastAsia"/>
          <w:sz w:val="28"/>
        </w:rPr>
        <w:instrText xml:space="preserve"> PAGEREF _Toc124325905 \h </w:instrText>
      </w:r>
      <w:r>
        <w:rPr>
          <w:rFonts w:hint="eastAsia" w:asciiTheme="minorEastAsia" w:hAnsiTheme="minorEastAsia" w:eastAsiaTheme="minorEastAsia"/>
          <w:sz w:val="28"/>
        </w:rPr>
        <w:fldChar w:fldCharType="separate"/>
      </w:r>
      <w:r>
        <w:rPr>
          <w:rFonts w:asciiTheme="minorEastAsia" w:hAnsiTheme="minorEastAsia" w:eastAsiaTheme="minorEastAsia"/>
          <w:sz w:val="28"/>
        </w:rPr>
        <w:t>52</w:t>
      </w:r>
      <w:r>
        <w:rPr>
          <w:rFonts w:hint="eastAsia" w:asciiTheme="minorEastAsia" w:hAnsiTheme="minorEastAsia" w:eastAsiaTheme="minorEastAsia"/>
          <w:sz w:val="28"/>
        </w:rPr>
        <w:fldChar w:fldCharType="end"/>
      </w:r>
      <w:r>
        <w:rPr>
          <w:rFonts w:hint="eastAsia" w:asciiTheme="minorEastAsia" w:hAnsiTheme="minorEastAsia" w:eastAsiaTheme="minorEastAsia"/>
          <w:sz w:val="28"/>
        </w:rPr>
        <w:fldChar w:fldCharType="end"/>
      </w:r>
    </w:p>
    <w:p>
      <w:pPr>
        <w:spacing w:line="480" w:lineRule="exact"/>
        <w:rPr>
          <w:rFonts w:asciiTheme="minorEastAsia" w:hAnsiTheme="minorEastAsia" w:eastAsiaTheme="minorEastAsia"/>
          <w:sz w:val="24"/>
        </w:rPr>
      </w:pPr>
      <w:r>
        <w:rPr>
          <w:rFonts w:hint="eastAsia" w:asciiTheme="minorEastAsia" w:hAnsiTheme="minorEastAsia" w:eastAsiaTheme="minorEastAsia"/>
          <w:sz w:val="28"/>
        </w:rPr>
        <w:fldChar w:fldCharType="end"/>
      </w:r>
    </w:p>
    <w:p>
      <w:pPr>
        <w:widowControl/>
        <w:adjustRightInd w:val="0"/>
        <w:snapToGrid w:val="0"/>
        <w:spacing w:line="480" w:lineRule="exact"/>
        <w:ind w:firstLine="480" w:firstLineChars="200"/>
        <w:rPr>
          <w:rFonts w:cs="Arial" w:asciiTheme="minorEastAsia" w:hAnsiTheme="minorEastAsia" w:eastAsiaTheme="minorEastAsia"/>
          <w:kern w:val="0"/>
          <w:sz w:val="24"/>
        </w:rPr>
      </w:pPr>
    </w:p>
    <w:p>
      <w:pPr>
        <w:widowControl/>
        <w:adjustRightInd w:val="0"/>
        <w:snapToGrid w:val="0"/>
        <w:spacing w:line="480" w:lineRule="exact"/>
        <w:ind w:firstLine="480" w:firstLineChars="200"/>
        <w:rPr>
          <w:rFonts w:cs="Arial" w:asciiTheme="minorEastAsia" w:hAnsiTheme="minorEastAsia" w:eastAsiaTheme="minorEastAsia"/>
          <w:kern w:val="0"/>
          <w:sz w:val="24"/>
        </w:rPr>
      </w:pPr>
    </w:p>
    <w:p>
      <w:pPr>
        <w:widowControl/>
        <w:adjustRightInd w:val="0"/>
        <w:snapToGrid w:val="0"/>
        <w:spacing w:line="480" w:lineRule="exact"/>
        <w:ind w:firstLine="480" w:firstLineChars="200"/>
        <w:rPr>
          <w:rFonts w:cs="Arial" w:asciiTheme="minorEastAsia" w:hAnsiTheme="minorEastAsia" w:eastAsiaTheme="minorEastAsia"/>
          <w:kern w:val="0"/>
          <w:sz w:val="24"/>
        </w:rPr>
      </w:pPr>
    </w:p>
    <w:p>
      <w:pPr>
        <w:widowControl/>
        <w:adjustRightInd w:val="0"/>
        <w:snapToGrid w:val="0"/>
        <w:spacing w:line="480" w:lineRule="exact"/>
        <w:ind w:firstLine="480" w:firstLineChars="200"/>
        <w:rPr>
          <w:rFonts w:cs="Arial" w:asciiTheme="minorEastAsia" w:hAnsiTheme="minorEastAsia" w:eastAsiaTheme="minorEastAsia"/>
          <w:kern w:val="0"/>
          <w:sz w:val="24"/>
        </w:rPr>
      </w:pPr>
    </w:p>
    <w:p>
      <w:pPr>
        <w:widowControl/>
        <w:adjustRightInd w:val="0"/>
        <w:snapToGrid w:val="0"/>
        <w:spacing w:line="480" w:lineRule="exact"/>
        <w:ind w:firstLine="480" w:firstLineChars="200"/>
        <w:rPr>
          <w:rFonts w:cs="Arial" w:asciiTheme="minorEastAsia" w:hAnsiTheme="minorEastAsia" w:eastAsiaTheme="minorEastAsia"/>
          <w:kern w:val="0"/>
          <w:sz w:val="24"/>
        </w:rPr>
      </w:pPr>
      <w:r>
        <w:rPr>
          <w:rFonts w:hint="eastAsia" w:cs="Arial" w:asciiTheme="minorEastAsia" w:hAnsiTheme="minorEastAsia" w:eastAsiaTheme="minorEastAsia"/>
          <w:kern w:val="0"/>
          <w:sz w:val="24"/>
        </w:rPr>
        <w:t>鉴于</w:t>
      </w:r>
      <w:r>
        <w:rPr>
          <w:rFonts w:hint="eastAsia" w:cs="Arial" w:asciiTheme="minorEastAsia" w:hAnsiTheme="minorEastAsia" w:eastAsiaTheme="minorEastAsia"/>
          <w:sz w:val="24"/>
        </w:rPr>
        <w:t>南方基金管理股份有限公司</w:t>
      </w:r>
      <w:r>
        <w:rPr>
          <w:rFonts w:hint="eastAsia" w:cs="Arial" w:asciiTheme="minorEastAsia" w:hAnsiTheme="minorEastAsia" w:eastAsiaTheme="minorEastAsia"/>
          <w:kern w:val="0"/>
          <w:sz w:val="24"/>
        </w:rPr>
        <w:t>系一家依照中国法律合法成立并有效存续的股份有限公司，按照相关法律法规的规定具备担任基金管理人的资格和能力，拟募集注册</w:t>
      </w:r>
      <w:r>
        <w:rPr>
          <w:rFonts w:hint="eastAsia" w:cs="Arial" w:asciiTheme="minorEastAsia" w:hAnsiTheme="minorEastAsia" w:eastAsiaTheme="minorEastAsia"/>
          <w:sz w:val="24"/>
        </w:rPr>
        <w:t>南方稳合优选3个月持有期混合型基金中基金（FOF）</w:t>
      </w:r>
      <w:r>
        <w:rPr>
          <w:rFonts w:hint="eastAsia" w:cs="Arial" w:asciiTheme="minorEastAsia" w:hAnsiTheme="minorEastAsia" w:eastAsiaTheme="minorEastAsia"/>
          <w:kern w:val="0"/>
          <w:sz w:val="24"/>
        </w:rPr>
        <w:t>；</w:t>
      </w:r>
    </w:p>
    <w:p>
      <w:pPr>
        <w:widowControl/>
        <w:adjustRightInd w:val="0"/>
        <w:snapToGrid w:val="0"/>
        <w:spacing w:line="480" w:lineRule="exact"/>
        <w:ind w:firstLine="480" w:firstLineChars="200"/>
        <w:rPr>
          <w:rFonts w:cs="Arial" w:asciiTheme="minorEastAsia" w:hAnsiTheme="minorEastAsia" w:eastAsiaTheme="minorEastAsia"/>
          <w:kern w:val="0"/>
          <w:sz w:val="24"/>
        </w:rPr>
      </w:pPr>
      <w:r>
        <w:rPr>
          <w:rFonts w:hint="eastAsia" w:cs="Arial" w:asciiTheme="minorEastAsia" w:hAnsiTheme="minorEastAsia" w:eastAsiaTheme="minorEastAsia"/>
          <w:kern w:val="0"/>
          <w:sz w:val="24"/>
        </w:rPr>
        <w:t>鉴于徽商银行股份有限公司系一家依照中国法律合法成立并有效存续的银行，按照相关法律法规的规定具备担任基金托管人的资格和能力；</w:t>
      </w:r>
    </w:p>
    <w:p>
      <w:pPr>
        <w:widowControl/>
        <w:adjustRightInd w:val="0"/>
        <w:snapToGrid w:val="0"/>
        <w:spacing w:line="480" w:lineRule="exact"/>
        <w:ind w:firstLine="480" w:firstLineChars="200"/>
        <w:rPr>
          <w:rFonts w:cs="Arial" w:asciiTheme="minorEastAsia" w:hAnsiTheme="minorEastAsia" w:eastAsiaTheme="minorEastAsia"/>
          <w:kern w:val="0"/>
          <w:sz w:val="24"/>
        </w:rPr>
      </w:pPr>
      <w:r>
        <w:rPr>
          <w:rFonts w:hint="eastAsia" w:cs="Arial" w:asciiTheme="minorEastAsia" w:hAnsiTheme="minorEastAsia" w:eastAsiaTheme="minorEastAsia"/>
          <w:kern w:val="0"/>
          <w:sz w:val="24"/>
        </w:rPr>
        <w:t>鉴于</w:t>
      </w:r>
      <w:r>
        <w:rPr>
          <w:rFonts w:hint="eastAsia" w:cs="Arial" w:asciiTheme="minorEastAsia" w:hAnsiTheme="minorEastAsia" w:eastAsiaTheme="minorEastAsia"/>
          <w:sz w:val="24"/>
        </w:rPr>
        <w:t>南方基金管理股份有限公司</w:t>
      </w:r>
      <w:r>
        <w:rPr>
          <w:rFonts w:hint="eastAsia" w:cs="Arial" w:asciiTheme="minorEastAsia" w:hAnsiTheme="minorEastAsia" w:eastAsiaTheme="minorEastAsia"/>
          <w:kern w:val="0"/>
          <w:sz w:val="24"/>
        </w:rPr>
        <w:t>拟担任</w:t>
      </w:r>
      <w:r>
        <w:rPr>
          <w:rFonts w:hint="eastAsia" w:cs="Arial" w:asciiTheme="minorEastAsia" w:hAnsiTheme="minorEastAsia" w:eastAsiaTheme="minorEastAsia"/>
          <w:sz w:val="24"/>
        </w:rPr>
        <w:t>南方稳合优选3个月持有期混合型基金中基金（FOF）</w:t>
      </w:r>
      <w:r>
        <w:rPr>
          <w:rFonts w:hint="eastAsia" w:cs="Arial" w:asciiTheme="minorEastAsia" w:hAnsiTheme="minorEastAsia" w:eastAsiaTheme="minorEastAsia"/>
          <w:kern w:val="0"/>
          <w:sz w:val="24"/>
        </w:rPr>
        <w:t>的基金管理人，徽商银行股份有限公司拟担任</w:t>
      </w:r>
      <w:r>
        <w:rPr>
          <w:rFonts w:hint="eastAsia" w:cs="Arial" w:asciiTheme="minorEastAsia" w:hAnsiTheme="minorEastAsia" w:eastAsiaTheme="minorEastAsia"/>
          <w:sz w:val="24"/>
        </w:rPr>
        <w:t>南方稳合优选3个月持有期混合型基金中基金（FOF）</w:t>
      </w:r>
      <w:r>
        <w:rPr>
          <w:rFonts w:hint="eastAsia" w:cs="Arial" w:asciiTheme="minorEastAsia" w:hAnsiTheme="minorEastAsia" w:eastAsiaTheme="minorEastAsia"/>
          <w:kern w:val="0"/>
          <w:sz w:val="24"/>
        </w:rPr>
        <w:t>的基金托管人；</w:t>
      </w:r>
    </w:p>
    <w:p>
      <w:pPr>
        <w:widowControl/>
        <w:adjustRightInd w:val="0"/>
        <w:snapToGrid w:val="0"/>
        <w:spacing w:line="480" w:lineRule="exact"/>
        <w:ind w:firstLine="480" w:firstLineChars="200"/>
        <w:rPr>
          <w:rFonts w:cs="Arial" w:asciiTheme="minorEastAsia" w:hAnsiTheme="minorEastAsia" w:eastAsiaTheme="minorEastAsia"/>
          <w:kern w:val="0"/>
          <w:sz w:val="24"/>
        </w:rPr>
      </w:pPr>
      <w:r>
        <w:rPr>
          <w:rFonts w:hint="eastAsia" w:cs="Arial" w:asciiTheme="minorEastAsia" w:hAnsiTheme="minorEastAsia" w:eastAsiaTheme="minorEastAsia"/>
          <w:kern w:val="0"/>
          <w:sz w:val="24"/>
        </w:rPr>
        <w:t>为明确</w:t>
      </w:r>
      <w:r>
        <w:rPr>
          <w:rFonts w:hint="eastAsia" w:cs="Arial" w:asciiTheme="minorEastAsia" w:hAnsiTheme="minorEastAsia" w:eastAsiaTheme="minorEastAsia"/>
          <w:sz w:val="24"/>
        </w:rPr>
        <w:t>南方稳合优选3个月持有期混合型基金中基金（FOF）</w:t>
      </w:r>
      <w:r>
        <w:rPr>
          <w:rFonts w:hint="eastAsia" w:cs="Arial" w:asciiTheme="minorEastAsia" w:hAnsiTheme="minorEastAsia" w:eastAsiaTheme="minorEastAsia"/>
          <w:kern w:val="0"/>
          <w:sz w:val="24"/>
        </w:rPr>
        <w:t>的基金管理人和基金托管人之间的权利义务关系，特制订本托管协议；</w:t>
      </w:r>
    </w:p>
    <w:p>
      <w:pPr>
        <w:widowControl/>
        <w:adjustRightInd w:val="0"/>
        <w:snapToGrid w:val="0"/>
        <w:spacing w:line="480" w:lineRule="exact"/>
        <w:ind w:firstLine="480" w:firstLineChars="200"/>
        <w:rPr>
          <w:rFonts w:cs="Arial" w:asciiTheme="minorEastAsia" w:hAnsiTheme="minorEastAsia" w:eastAsiaTheme="minorEastAsia"/>
          <w:kern w:val="0"/>
          <w:sz w:val="24"/>
          <w:lang w:val="en-GB"/>
        </w:rPr>
      </w:pPr>
      <w:r>
        <w:rPr>
          <w:rFonts w:hint="eastAsia" w:cs="Arial" w:asciiTheme="minorEastAsia" w:hAnsiTheme="minorEastAsia" w:eastAsiaTheme="minorEastAsia"/>
          <w:kern w:val="0"/>
          <w:sz w:val="24"/>
          <w:lang w:val="en-GB"/>
        </w:rPr>
        <w:t>除非另有约定，《</w:t>
      </w:r>
      <w:r>
        <w:rPr>
          <w:rFonts w:hint="eastAsia" w:cs="Arial" w:asciiTheme="minorEastAsia" w:hAnsiTheme="minorEastAsia" w:eastAsiaTheme="minorEastAsia"/>
          <w:sz w:val="24"/>
        </w:rPr>
        <w:t>南方稳合优选3个月持有期混合型基金中基金（FOF）</w:t>
      </w:r>
      <w:r>
        <w:rPr>
          <w:rFonts w:hint="eastAsia" w:cs="Arial" w:asciiTheme="minorEastAsia" w:hAnsiTheme="minorEastAsia" w:eastAsiaTheme="minorEastAsia"/>
          <w:kern w:val="0"/>
          <w:sz w:val="24"/>
          <w:lang w:val="en-GB"/>
        </w:rPr>
        <w:t>基金合同》(以下简称“基金合同”或“《基金合同》”)中定义的术语在用于本托管协议时应具有相同的含义；若有抵触应以《基金合同》为准，并依其</w:t>
      </w:r>
      <w:r>
        <w:rPr>
          <w:rFonts w:hint="eastAsia" w:cs="Arial" w:asciiTheme="minorEastAsia" w:hAnsiTheme="minorEastAsia" w:eastAsiaTheme="minorEastAsia"/>
          <w:kern w:val="0"/>
          <w:sz w:val="24"/>
        </w:rPr>
        <w:t>条款</w:t>
      </w:r>
      <w:r>
        <w:rPr>
          <w:rFonts w:hint="eastAsia" w:cs="Arial" w:asciiTheme="minorEastAsia" w:hAnsiTheme="minorEastAsia" w:eastAsiaTheme="minorEastAsia"/>
          <w:kern w:val="0"/>
          <w:sz w:val="24"/>
          <w:lang w:val="en-GB"/>
        </w:rPr>
        <w:t>解释。</w:t>
      </w:r>
    </w:p>
    <w:p>
      <w:pPr>
        <w:spacing w:line="480" w:lineRule="exact"/>
        <w:rPr>
          <w:rFonts w:asciiTheme="minorEastAsia" w:hAnsiTheme="minorEastAsia" w:eastAsiaTheme="minorEastAsia"/>
          <w:sz w:val="24"/>
          <w:lang w:val="en-GB"/>
        </w:rPr>
      </w:pPr>
    </w:p>
    <w:p>
      <w:pPr>
        <w:widowControl/>
        <w:spacing w:line="480" w:lineRule="exact"/>
        <w:jc w:val="left"/>
        <w:rPr>
          <w:rFonts w:asciiTheme="minorEastAsia" w:hAnsiTheme="minorEastAsia" w:eastAsiaTheme="minorEastAsia"/>
          <w:b/>
          <w:sz w:val="32"/>
          <w:szCs w:val="20"/>
        </w:rPr>
      </w:pPr>
      <w:bookmarkStart w:id="0" w:name="_Toc124325885"/>
      <w:r>
        <w:rPr>
          <w:rFonts w:asciiTheme="minorEastAsia" w:hAnsiTheme="minorEastAsia" w:eastAsiaTheme="minorEastAsia"/>
        </w:rPr>
        <w:br w:type="page"/>
      </w:r>
    </w:p>
    <w:p>
      <w:pPr>
        <w:pStyle w:val="2"/>
        <w:spacing w:before="0" w:after="0" w:line="480" w:lineRule="exact"/>
        <w:jc w:val="center"/>
        <w:rPr>
          <w:rFonts w:asciiTheme="minorEastAsia" w:hAnsiTheme="minorEastAsia" w:eastAsiaTheme="minorEastAsia"/>
        </w:rPr>
      </w:pPr>
      <w:r>
        <w:rPr>
          <w:rFonts w:hint="eastAsia" w:asciiTheme="minorEastAsia" w:hAnsiTheme="minorEastAsia" w:eastAsiaTheme="minorEastAsia"/>
        </w:rPr>
        <w:t>一、基金托管协议当事人</w:t>
      </w:r>
      <w:bookmarkEnd w:id="0"/>
    </w:p>
    <w:p>
      <w:pPr>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（一）基金管理人</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名称：南方基金管理股份有限公司</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注册地址：深圳市福田区莲花街道益田路5999号基金大厦32-42楼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办公地址：深圳市福田区莲花街道益田路5999号基金大厦32-42楼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邮政编码：518048</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法定代表人：周易</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成立日期：1998年3月6日</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批准设立机关及批准设立文号：中国证券监督管理委员会证监基字[1998]4号</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组织形式：股份有限公司</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注册资本：人民币3.6172亿元</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存续期间：持续经营</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经营范围：基金募集、基金销售、资产管理、中国证监会许可的其他业务</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（二）基金托管人</w:t>
      </w:r>
    </w:p>
    <w:p>
      <w:pPr>
        <w:adjustRightInd w:val="0"/>
        <w:snapToGrid w:val="0"/>
        <w:spacing w:line="480" w:lineRule="exact"/>
        <w:ind w:firstLine="480" w:firstLineChars="200"/>
        <w:rPr>
          <w:rFonts w:cs="Arial" w:asciiTheme="minorEastAsia" w:hAnsiTheme="minorEastAsia" w:eastAsiaTheme="minorEastAsia"/>
          <w:sz w:val="24"/>
        </w:rPr>
      </w:pPr>
      <w:bookmarkStart w:id="1" w:name="_Toc124325886"/>
      <w:r>
        <w:rPr>
          <w:rFonts w:hint="eastAsia" w:cs="Arial" w:asciiTheme="minorEastAsia" w:hAnsiTheme="minorEastAsia" w:eastAsiaTheme="minorEastAsia"/>
          <w:sz w:val="24"/>
        </w:rPr>
        <w:t>名称：徽商银行股份有限公司</w:t>
      </w:r>
      <w:r>
        <w:rPr>
          <w:rFonts w:cs="Arial" w:asciiTheme="minorEastAsia" w:hAnsiTheme="minorEastAsia" w:eastAsiaTheme="minorEastAsia"/>
          <w:sz w:val="24"/>
        </w:rPr>
        <w:t xml:space="preserve"> </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注册地址：安徽省合肥市云谷路</w:t>
      </w:r>
      <w:r>
        <w:rPr>
          <w:rFonts w:cs="Arial" w:asciiTheme="minorEastAsia" w:hAnsiTheme="minorEastAsia" w:eastAsiaTheme="minorEastAsia"/>
          <w:sz w:val="24"/>
        </w:rPr>
        <w:t>1699</w:t>
      </w:r>
      <w:r>
        <w:rPr>
          <w:rFonts w:hint="eastAsia" w:cs="Arial" w:asciiTheme="minorEastAsia" w:hAnsiTheme="minorEastAsia" w:eastAsiaTheme="minorEastAsia"/>
          <w:sz w:val="24"/>
        </w:rPr>
        <w:t>号徽银大厦</w:t>
      </w:r>
      <w:r>
        <w:rPr>
          <w:rFonts w:cs="Arial" w:asciiTheme="minorEastAsia" w:hAnsiTheme="minorEastAsia" w:eastAsiaTheme="minorEastAsia"/>
          <w:sz w:val="24"/>
        </w:rPr>
        <w:t xml:space="preserve"> </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办公地址：安徽省合肥市云谷路</w:t>
      </w:r>
      <w:r>
        <w:rPr>
          <w:rFonts w:cs="Arial" w:asciiTheme="minorEastAsia" w:hAnsiTheme="minorEastAsia" w:eastAsiaTheme="minorEastAsia"/>
          <w:sz w:val="24"/>
        </w:rPr>
        <w:t>1699</w:t>
      </w:r>
      <w:r>
        <w:rPr>
          <w:rFonts w:hint="eastAsia" w:cs="Arial" w:asciiTheme="minorEastAsia" w:hAnsiTheme="minorEastAsia" w:eastAsiaTheme="minorEastAsia"/>
          <w:sz w:val="24"/>
        </w:rPr>
        <w:t>号徽银大厦</w:t>
      </w:r>
      <w:r>
        <w:rPr>
          <w:rFonts w:cs="Arial" w:asciiTheme="minorEastAsia" w:hAnsiTheme="minorEastAsia" w:eastAsiaTheme="minorEastAsia"/>
          <w:sz w:val="24"/>
        </w:rPr>
        <w:t xml:space="preserve"> </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负责人：</w:t>
      </w:r>
      <w:r>
        <w:rPr>
          <w:rFonts w:cs="Arial" w:asciiTheme="minorEastAsia" w:hAnsiTheme="minorEastAsia" w:eastAsiaTheme="minorEastAsia"/>
          <w:sz w:val="24"/>
        </w:rPr>
        <w:t xml:space="preserve"> </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成立时间：</w:t>
      </w:r>
      <w:r>
        <w:rPr>
          <w:rFonts w:cs="Arial" w:asciiTheme="minorEastAsia" w:hAnsiTheme="minorEastAsia" w:eastAsiaTheme="minorEastAsia"/>
          <w:sz w:val="24"/>
        </w:rPr>
        <w:t>1997</w:t>
      </w:r>
      <w:r>
        <w:rPr>
          <w:rFonts w:hint="eastAsia" w:cs="Arial" w:asciiTheme="minorEastAsia" w:hAnsiTheme="minorEastAsia" w:eastAsiaTheme="minorEastAsia"/>
          <w:sz w:val="24"/>
        </w:rPr>
        <w:t>年</w:t>
      </w:r>
      <w:r>
        <w:rPr>
          <w:rFonts w:cs="Arial" w:asciiTheme="minorEastAsia" w:hAnsiTheme="minorEastAsia" w:eastAsiaTheme="minorEastAsia"/>
          <w:sz w:val="24"/>
        </w:rPr>
        <w:t>4</w:t>
      </w:r>
      <w:r>
        <w:rPr>
          <w:rFonts w:hint="eastAsia" w:cs="Arial" w:asciiTheme="minorEastAsia" w:hAnsiTheme="minorEastAsia" w:eastAsiaTheme="minorEastAsia"/>
          <w:sz w:val="24"/>
        </w:rPr>
        <w:t>月</w:t>
      </w:r>
      <w:r>
        <w:rPr>
          <w:rFonts w:cs="Arial" w:asciiTheme="minorEastAsia" w:hAnsiTheme="minorEastAsia" w:eastAsiaTheme="minorEastAsia"/>
          <w:sz w:val="24"/>
        </w:rPr>
        <w:t>4</w:t>
      </w:r>
      <w:r>
        <w:rPr>
          <w:rFonts w:hint="eastAsia" w:cs="Arial" w:asciiTheme="minorEastAsia" w:hAnsiTheme="minorEastAsia" w:eastAsiaTheme="minorEastAsia"/>
          <w:sz w:val="24"/>
        </w:rPr>
        <w:t>日</w:t>
      </w:r>
      <w:r>
        <w:rPr>
          <w:rFonts w:cs="Arial" w:asciiTheme="minorEastAsia" w:hAnsiTheme="minorEastAsia" w:eastAsiaTheme="minorEastAsia"/>
          <w:sz w:val="24"/>
        </w:rPr>
        <w:t xml:space="preserve"> </w:t>
      </w:r>
      <w:bookmarkStart w:id="114" w:name="_GoBack"/>
      <w:bookmarkEnd w:id="114"/>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基金托管业务批准文号：证监许可〔</w:t>
      </w:r>
      <w:r>
        <w:rPr>
          <w:rFonts w:cs="Arial" w:asciiTheme="minorEastAsia" w:hAnsiTheme="minorEastAsia" w:eastAsiaTheme="minorEastAsia"/>
          <w:sz w:val="24"/>
        </w:rPr>
        <w:t>2014</w:t>
      </w:r>
      <w:r>
        <w:rPr>
          <w:rFonts w:hint="eastAsia" w:cs="Arial" w:asciiTheme="minorEastAsia" w:hAnsiTheme="minorEastAsia" w:eastAsiaTheme="minorEastAsia"/>
          <w:sz w:val="24"/>
        </w:rPr>
        <w:t>〕</w:t>
      </w:r>
      <w:r>
        <w:rPr>
          <w:rFonts w:cs="Arial" w:asciiTheme="minorEastAsia" w:hAnsiTheme="minorEastAsia" w:eastAsiaTheme="minorEastAsia"/>
          <w:sz w:val="24"/>
        </w:rPr>
        <w:t>63</w:t>
      </w:r>
      <w:r>
        <w:rPr>
          <w:rFonts w:hint="eastAsia" w:cs="Arial" w:asciiTheme="minorEastAsia" w:hAnsiTheme="minorEastAsia" w:eastAsiaTheme="minorEastAsia"/>
          <w:sz w:val="24"/>
        </w:rPr>
        <w:t>号</w:t>
      </w:r>
      <w:r>
        <w:rPr>
          <w:rFonts w:cs="Arial" w:asciiTheme="minorEastAsia" w:hAnsiTheme="minorEastAsia" w:eastAsiaTheme="minorEastAsia"/>
          <w:sz w:val="24"/>
        </w:rPr>
        <w:t xml:space="preserve"> </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组织形式：股份有限公司（上市）</w:t>
      </w:r>
      <w:r>
        <w:rPr>
          <w:rFonts w:cs="Arial" w:asciiTheme="minorEastAsia" w:hAnsiTheme="minorEastAsia" w:eastAsiaTheme="minorEastAsia"/>
          <w:sz w:val="24"/>
        </w:rPr>
        <w:t xml:space="preserve"> </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注册资本：【</w:t>
      </w:r>
      <w:r>
        <w:rPr>
          <w:rFonts w:cs="Arial" w:asciiTheme="minorEastAsia" w:hAnsiTheme="minorEastAsia" w:eastAsiaTheme="minorEastAsia"/>
          <w:sz w:val="24"/>
        </w:rPr>
        <w:t>138.89801211</w:t>
      </w:r>
      <w:r>
        <w:rPr>
          <w:rFonts w:hint="eastAsia" w:cs="Arial" w:asciiTheme="minorEastAsia" w:hAnsiTheme="minorEastAsia" w:eastAsiaTheme="minorEastAsia"/>
          <w:sz w:val="24"/>
        </w:rPr>
        <w:t>】亿元人民币</w:t>
      </w:r>
      <w:r>
        <w:rPr>
          <w:rFonts w:cs="Arial" w:asciiTheme="minorEastAsia" w:hAnsiTheme="minorEastAsia" w:eastAsiaTheme="minorEastAsia"/>
          <w:sz w:val="24"/>
        </w:rPr>
        <w:t xml:space="preserve"> </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存续期间：持续经营</w:t>
      </w:r>
      <w:r>
        <w:rPr>
          <w:rFonts w:cs="Arial" w:asciiTheme="minorEastAsia" w:hAnsiTheme="minorEastAsia" w:eastAsiaTheme="minorEastAsia"/>
          <w:sz w:val="24"/>
        </w:rPr>
        <w:t xml:space="preserve"> </w:t>
      </w:r>
    </w:p>
    <w:p>
      <w:pPr>
        <w:widowControl/>
        <w:spacing w:line="480" w:lineRule="exact"/>
        <w:jc w:val="left"/>
        <w:rPr>
          <w:rFonts w:asciiTheme="minorEastAsia" w:hAnsiTheme="minorEastAsia" w:eastAsiaTheme="minorEastAsia"/>
          <w:b/>
          <w:sz w:val="30"/>
          <w:szCs w:val="20"/>
        </w:rPr>
      </w:pPr>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二、基金托管协议的依据、目的和原则</w:t>
      </w:r>
      <w:bookmarkEnd w:id="1"/>
    </w:p>
    <w:p>
      <w:pPr>
        <w:adjustRightInd w:val="0"/>
        <w:snapToGrid w:val="0"/>
        <w:spacing w:line="480" w:lineRule="exact"/>
        <w:ind w:firstLine="480" w:firstLineChars="200"/>
        <w:rPr>
          <w:rFonts w:asciiTheme="minorEastAsia" w:hAnsiTheme="minorEastAsia" w:eastAsiaTheme="minorEastAsia"/>
          <w:sz w:val="24"/>
          <w:szCs w:val="30"/>
        </w:rPr>
      </w:pPr>
      <w:r>
        <w:rPr>
          <w:rFonts w:hint="eastAsia" w:cs="Arial" w:asciiTheme="minorEastAsia" w:hAnsiTheme="minorEastAsia" w:eastAsiaTheme="minorEastAsia"/>
          <w:sz w:val="24"/>
        </w:rPr>
        <w:t>（一）订立托管协议的依据</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协议依据《中华人民共和国民法典》、《中华人民共和国证券法》（以下简称“《证券法》”）、《中华人民共和国证券投资基金法》(以下简称“《基金法》”)、《公开募集证券投资基金运作管理办法》（以下简称“《运作办法》”）、《公开募集证券投资基金信息披露管理办法》（以下简称“《信息披露办法》”）、</w:t>
      </w:r>
      <w:r>
        <w:rPr>
          <w:rFonts w:cs="Arial" w:asciiTheme="minorEastAsia" w:hAnsiTheme="minorEastAsia" w:eastAsiaTheme="minorEastAsia"/>
          <w:sz w:val="24"/>
        </w:rPr>
        <w:t>《公开募集开放式证券投资基金流动性风险管理规定》（以下简称</w:t>
      </w:r>
      <w:r>
        <w:rPr>
          <w:rFonts w:hint="eastAsia" w:cs="Arial" w:asciiTheme="minorEastAsia" w:hAnsiTheme="minorEastAsia" w:eastAsiaTheme="minorEastAsia"/>
          <w:sz w:val="24"/>
        </w:rPr>
        <w:t>“</w:t>
      </w:r>
      <w:r>
        <w:rPr>
          <w:rFonts w:cs="Arial" w:asciiTheme="minorEastAsia" w:hAnsiTheme="minorEastAsia" w:eastAsiaTheme="minorEastAsia"/>
          <w:sz w:val="24"/>
        </w:rPr>
        <w:t>《流动性风险</w:t>
      </w:r>
      <w:r>
        <w:rPr>
          <w:rFonts w:hint="eastAsia" w:cs="Arial" w:asciiTheme="minorEastAsia" w:hAnsiTheme="minorEastAsia" w:eastAsiaTheme="minorEastAsia"/>
          <w:sz w:val="24"/>
        </w:rPr>
        <w:t>管理</w:t>
      </w:r>
      <w:r>
        <w:rPr>
          <w:rFonts w:cs="Arial" w:asciiTheme="minorEastAsia" w:hAnsiTheme="minorEastAsia" w:eastAsiaTheme="minorEastAsia"/>
          <w:sz w:val="24"/>
        </w:rPr>
        <w:t>规定》</w:t>
      </w:r>
      <w:r>
        <w:rPr>
          <w:rFonts w:hint="eastAsia" w:cs="Arial" w:asciiTheme="minorEastAsia" w:hAnsiTheme="minorEastAsia" w:eastAsiaTheme="minorEastAsia"/>
          <w:sz w:val="24"/>
        </w:rPr>
        <w:t>”</w:t>
      </w:r>
      <w:r>
        <w:rPr>
          <w:rFonts w:cs="Arial" w:asciiTheme="minorEastAsia" w:hAnsiTheme="minorEastAsia" w:eastAsiaTheme="minorEastAsia"/>
          <w:sz w:val="24"/>
        </w:rPr>
        <w:t>）</w:t>
      </w:r>
      <w:r>
        <w:rPr>
          <w:rFonts w:hint="eastAsia" w:cs="Arial" w:asciiTheme="minorEastAsia" w:hAnsiTheme="minorEastAsia" w:eastAsiaTheme="minorEastAsia"/>
          <w:sz w:val="24"/>
        </w:rPr>
        <w:t>等有关法律法规、《基金合同》及其他有关规定制订。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（二）订立托管协议的目的</w:t>
      </w:r>
    </w:p>
    <w:p>
      <w:pPr>
        <w:adjustRightInd w:val="0"/>
        <w:snapToGrid w:val="0"/>
        <w:spacing w:line="480" w:lineRule="exact"/>
        <w:ind w:firstLine="480" w:firstLineChars="200"/>
        <w:rPr>
          <w:rFonts w:asciiTheme="minorEastAsia" w:hAnsiTheme="minorEastAsia" w:eastAsiaTheme="minorEastAsia"/>
          <w:sz w:val="24"/>
          <w:szCs w:val="30"/>
        </w:rPr>
      </w:pPr>
      <w:r>
        <w:rPr>
          <w:rFonts w:hint="eastAsia" w:cs="Arial" w:asciiTheme="minorEastAsia" w:hAnsiTheme="minorEastAsia" w:eastAsiaTheme="minorEastAsia"/>
          <w:sz w:val="24"/>
        </w:rPr>
        <w:t>订立本协议的目的是明确基金管理人与基金托管人之间在基金财产的保管、投资运作、净值计算、收益分配、信息披露及相互监督等相关事宜中的权利义务及职责，确保基金财产的安全，保护基金份额持有人的合法权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（三）订立托管协议的原则</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基金管理人和基金托管人本着平等自愿、诚实信用、充分保护基金份额持有人合法权益的原则，经协商一致，签订本协议。</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（四）若本基金实施侧袋机制的，侧袋机制实施期间的相关安排见基金合同和招募说明书的规定。</w:t>
      </w:r>
    </w:p>
    <w:p>
      <w:pPr>
        <w:spacing w:line="480" w:lineRule="exact"/>
        <w:rPr>
          <w:rFonts w:asciiTheme="minorEastAsia" w:hAnsiTheme="minorEastAsia" w:eastAsiaTheme="minorEastAsia"/>
          <w:sz w:val="24"/>
        </w:rPr>
      </w:pPr>
    </w:p>
    <w:p>
      <w:pPr>
        <w:widowControl/>
        <w:spacing w:line="480" w:lineRule="exact"/>
        <w:jc w:val="left"/>
        <w:rPr>
          <w:rFonts w:asciiTheme="minorEastAsia" w:hAnsiTheme="minorEastAsia" w:eastAsiaTheme="minorEastAsia"/>
          <w:b/>
          <w:sz w:val="30"/>
          <w:szCs w:val="20"/>
        </w:rPr>
      </w:pPr>
      <w:bookmarkStart w:id="2" w:name="_Toc124325887"/>
      <w:bookmarkStart w:id="3" w:name="_Hlk193011786"/>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szCs w:val="24"/>
        </w:rPr>
      </w:pPr>
      <w:r>
        <w:rPr>
          <w:rFonts w:hint="eastAsia" w:asciiTheme="minorEastAsia" w:hAnsiTheme="minorEastAsia" w:eastAsiaTheme="minorEastAsia"/>
          <w:sz w:val="30"/>
        </w:rPr>
        <w:t>三、基金托管人对基金管理人的业务监督和核查</w:t>
      </w:r>
      <w:bookmarkEnd w:id="2"/>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一）基金托管人根据有关法律法规的规定及《基金合同》的约定，对基金投资范围、投资对象进行监督。《基金合同》明确约定基金投资风格或证券选择标准的，基金管理人应按照基金托管人要求的格式，将拟投资的标的证券库提供给基金托管人，基金管理人可以根据实际情况的变化，对标的证券库予以更新和调整并及时书面通知基金托管人。基金托管人根据上述投资范围对基金实际投资是否符合《基金合同》关于证券选择标准的约定进行监督。</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基金投资于依法发行或上市的基金、股票、债券等金融工具及法律法规或中国证监会允许基金投资的其他金融工具。具体包括：经中国证监会依法核准或注册的公开募集证券投资基金基金份额（含QDII基金、香港互认基金、商品基金（含商品期货基金和黄金ETF）、公开募集不动产投资信托基金（以下简称“公募REITs”））、股票（包含主板、创业板及其他经中国证监会核准或注册上市的股票、存托凭证（下同））、内地与香港股票市场交易互联互通机制允许买卖的香港证券市场股票和交易型开放式基金（以下分别简称</w:t>
      </w:r>
      <w:r>
        <w:rPr>
          <w:rFonts w:cs="Arial" w:asciiTheme="minorEastAsia" w:hAnsiTheme="minorEastAsia" w:eastAsiaTheme="minorEastAsia"/>
          <w:sz w:val="24"/>
        </w:rPr>
        <w:t>“</w:t>
      </w:r>
      <w:r>
        <w:rPr>
          <w:rFonts w:hint="eastAsia" w:cs="Arial" w:asciiTheme="minorEastAsia" w:hAnsiTheme="minorEastAsia" w:eastAsiaTheme="minorEastAsia"/>
          <w:sz w:val="24"/>
        </w:rPr>
        <w:t>港股通标的股票</w:t>
      </w:r>
      <w:r>
        <w:rPr>
          <w:rFonts w:cs="Arial" w:asciiTheme="minorEastAsia" w:hAnsiTheme="minorEastAsia" w:eastAsiaTheme="minorEastAsia"/>
          <w:sz w:val="24"/>
        </w:rPr>
        <w:t>”</w:t>
      </w:r>
      <w:r>
        <w:rPr>
          <w:rFonts w:hint="eastAsia" w:cs="Arial" w:asciiTheme="minorEastAsia" w:hAnsiTheme="minorEastAsia" w:eastAsiaTheme="minorEastAsia"/>
          <w:sz w:val="24"/>
        </w:rPr>
        <w:t>、</w:t>
      </w:r>
      <w:r>
        <w:rPr>
          <w:rFonts w:cs="Arial" w:asciiTheme="minorEastAsia" w:hAnsiTheme="minorEastAsia" w:eastAsiaTheme="minorEastAsia"/>
          <w:sz w:val="24"/>
        </w:rPr>
        <w:t>“</w:t>
      </w:r>
      <w:r>
        <w:rPr>
          <w:rFonts w:hint="eastAsia" w:cs="Arial" w:asciiTheme="minorEastAsia" w:hAnsiTheme="minorEastAsia" w:eastAsiaTheme="minorEastAsia"/>
          <w:sz w:val="24"/>
        </w:rPr>
        <w:t>港股通</w:t>
      </w:r>
      <w:r>
        <w:rPr>
          <w:rFonts w:cs="Arial" w:asciiTheme="minorEastAsia" w:hAnsiTheme="minorEastAsia" w:eastAsiaTheme="minorEastAsia"/>
          <w:sz w:val="24"/>
        </w:rPr>
        <w:t>ETF”</w:t>
      </w:r>
      <w:r>
        <w:rPr>
          <w:rFonts w:hint="eastAsia" w:cs="Arial" w:asciiTheme="minorEastAsia" w:hAnsiTheme="minorEastAsia" w:eastAsiaTheme="minorEastAsia"/>
          <w:sz w:val="24"/>
        </w:rPr>
        <w:t>）、债券（包括国内依法发行的国债、央行票据、金融债券、企业债券、公司债券、中期票据、短期融资券、超短期融资券、公开发行的次级债券、政府支持机构债、政府支持债券、地方政府债、可转换债券、可交换债券及其他经中国证监会允许投资的债券）、资产支持证券、债券回购、银行存款（包括协议存款、定期存款以及其他银行存款）、同业存单、货币市场工具，以及法律法规或中国证监会允许基金投资的其他金融工具（但须符合中国证监会的相关规定）。</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如法律法规或监管机构以后允许基金投资其他品种，基金管理人在履行适当程序后，可以将其纳入投资范围。</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基金的投资组合比例为：本基金投资于经中国证监会依法核准或注册的公开募集证券投资基金的基金份额的资产不低于本基金资产的80%。基金投资于股票（含存托凭证）、股票型基金、混合型基金（指基金合同中约定股票投资占基金资产的比例为60%以上或者最近四个季度披露的股票投资占基金资产的比例均在60%以上的混合型基金）合计占基金资产的比例为5%-30%（其中，本基金投资于境内的股票、股票型基金、混合型基金（指基金合同中约定股票投资占基金资产的比例为60%以上或者最近四个季度披露的股票投资占基金资产的比例均在60%以上的混合型基金）合计比例不低于基金资产的5%），本基金投资于港股通标的股票的比例不超过股票资产的50%。本基金投资于Q</w:t>
      </w:r>
      <w:r>
        <w:rPr>
          <w:rFonts w:cs="Arial" w:asciiTheme="minorEastAsia" w:hAnsiTheme="minorEastAsia" w:eastAsiaTheme="minorEastAsia"/>
          <w:sz w:val="24"/>
        </w:rPr>
        <w:t>DII</w:t>
      </w:r>
      <w:r>
        <w:rPr>
          <w:rFonts w:hint="eastAsia" w:cs="Arial" w:asciiTheme="minorEastAsia" w:hAnsiTheme="minorEastAsia" w:eastAsiaTheme="minorEastAsia"/>
          <w:sz w:val="24"/>
        </w:rPr>
        <w:t>基金和香港互认基金的比例不超过基金资产的20%。货币市场基金投资占基金资产比例不超过15%。投资于商品基金（含商品期货基金和黄金ETF）的比例不超过基金资产的10%。本基金保留的现金或到期日在一年以内的政府债券的比例合计不低于基金资产净值的5%，其中现金不包括结算备付金、存出保证金、应收申购款等。</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如果法律法规或中国证监会变更投资品种的投资比例限制，基金管理人在履行适当程序后，可以调整上述投资品种的投资比例。</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（二）基金托管人根据有关法律法规的规定及《基金合同》和本协议的约定，对基金投资比例进行监督。基金托管人按下述比例和调整期限进行监督：</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（1）</w:t>
      </w:r>
      <w:r>
        <w:rPr>
          <w:rFonts w:hint="eastAsia" w:cs="Arial" w:asciiTheme="minorEastAsia" w:hAnsiTheme="minorEastAsia" w:eastAsiaTheme="minorEastAsia"/>
          <w:sz w:val="24"/>
        </w:rPr>
        <w:t>本基金投资于经中国证监会依法核准或注册的公开募集证券投资基金的基金份额的资产不低于本基金资产的80%。本基金投资于股票（含存托凭证）、股票型基金、混合型基金（指基金合同中约定股票投资占基金资产的比例为</w:t>
      </w:r>
      <w:r>
        <w:rPr>
          <w:rFonts w:cs="Arial" w:asciiTheme="minorEastAsia" w:hAnsiTheme="minorEastAsia" w:eastAsiaTheme="minorEastAsia"/>
          <w:sz w:val="24"/>
        </w:rPr>
        <w:t>60%</w:t>
      </w:r>
      <w:r>
        <w:rPr>
          <w:rFonts w:hint="eastAsia" w:cs="Arial" w:asciiTheme="minorEastAsia" w:hAnsiTheme="minorEastAsia" w:eastAsiaTheme="minorEastAsia"/>
          <w:sz w:val="24"/>
        </w:rPr>
        <w:t>以上或者最近四个季度披露的股票投资占基金资产的比例均在</w:t>
      </w:r>
      <w:r>
        <w:rPr>
          <w:rFonts w:cs="Arial" w:asciiTheme="minorEastAsia" w:hAnsiTheme="minorEastAsia" w:eastAsiaTheme="minorEastAsia"/>
          <w:sz w:val="24"/>
        </w:rPr>
        <w:t>60%</w:t>
      </w:r>
      <w:r>
        <w:rPr>
          <w:rFonts w:hint="eastAsia" w:cs="Arial" w:asciiTheme="minorEastAsia" w:hAnsiTheme="minorEastAsia" w:eastAsiaTheme="minorEastAsia"/>
          <w:sz w:val="24"/>
        </w:rPr>
        <w:t>以上的混合型基金）合计占基金资产的比例为</w:t>
      </w:r>
      <w:r>
        <w:rPr>
          <w:rFonts w:cs="Arial" w:asciiTheme="minorEastAsia" w:hAnsiTheme="minorEastAsia" w:eastAsiaTheme="minorEastAsia"/>
          <w:sz w:val="24"/>
        </w:rPr>
        <w:t>5%-30%</w:t>
      </w:r>
      <w:r>
        <w:rPr>
          <w:rFonts w:hint="eastAsia" w:cs="Arial" w:asciiTheme="minorEastAsia" w:hAnsiTheme="minorEastAsia" w:eastAsiaTheme="minorEastAsia"/>
          <w:sz w:val="24"/>
        </w:rPr>
        <w:t>（其中，本基金投资于境内的股票、股票型基金、混合型基金（指基金合同中约定股票投资占基金资产的比例为</w:t>
      </w:r>
      <w:r>
        <w:rPr>
          <w:rFonts w:cs="Arial" w:asciiTheme="minorEastAsia" w:hAnsiTheme="minorEastAsia" w:eastAsiaTheme="minorEastAsia"/>
          <w:sz w:val="24"/>
        </w:rPr>
        <w:t>60%</w:t>
      </w:r>
      <w:r>
        <w:rPr>
          <w:rFonts w:hint="eastAsia" w:cs="Arial" w:asciiTheme="minorEastAsia" w:hAnsiTheme="minorEastAsia" w:eastAsiaTheme="minorEastAsia"/>
          <w:sz w:val="24"/>
        </w:rPr>
        <w:t>以上或者最近四个季度披露的股票投资占基金资产的比例均在</w:t>
      </w:r>
      <w:r>
        <w:rPr>
          <w:rFonts w:cs="Arial" w:asciiTheme="minorEastAsia" w:hAnsiTheme="minorEastAsia" w:eastAsiaTheme="minorEastAsia"/>
          <w:sz w:val="24"/>
        </w:rPr>
        <w:t>60%</w:t>
      </w:r>
      <w:r>
        <w:rPr>
          <w:rFonts w:hint="eastAsia" w:cs="Arial" w:asciiTheme="minorEastAsia" w:hAnsiTheme="minorEastAsia" w:eastAsiaTheme="minorEastAsia"/>
          <w:sz w:val="24"/>
        </w:rPr>
        <w:t>以上的混合型基金）合计比例不低于基金资产的</w:t>
      </w:r>
      <w:r>
        <w:rPr>
          <w:rFonts w:cs="Arial" w:asciiTheme="minorEastAsia" w:hAnsiTheme="minorEastAsia" w:eastAsiaTheme="minorEastAsia"/>
          <w:sz w:val="24"/>
        </w:rPr>
        <w:t>5%</w:t>
      </w:r>
      <w:r>
        <w:rPr>
          <w:rFonts w:hint="eastAsia" w:cs="Arial" w:asciiTheme="minorEastAsia" w:hAnsiTheme="minorEastAsia" w:eastAsiaTheme="minorEastAsia"/>
          <w:sz w:val="24"/>
        </w:rPr>
        <w:t>），本基金投资于港股通标的股票的比例不超过股票资产的</w:t>
      </w:r>
      <w:r>
        <w:rPr>
          <w:rFonts w:cs="Arial" w:asciiTheme="minorEastAsia" w:hAnsiTheme="minorEastAsia" w:eastAsiaTheme="minorEastAsia"/>
          <w:sz w:val="24"/>
        </w:rPr>
        <w:t>50%</w:t>
      </w:r>
      <w:r>
        <w:rPr>
          <w:rFonts w:hint="eastAsia" w:cs="Arial" w:asciiTheme="minorEastAsia" w:hAnsiTheme="minorEastAsia" w:eastAsiaTheme="minorEastAsia"/>
          <w:sz w:val="24"/>
        </w:rPr>
        <w:t>。本基金投资于</w:t>
      </w:r>
      <w:r>
        <w:rPr>
          <w:rFonts w:cs="Arial" w:asciiTheme="minorEastAsia" w:hAnsiTheme="minorEastAsia" w:eastAsiaTheme="minorEastAsia"/>
          <w:sz w:val="24"/>
        </w:rPr>
        <w:t>QDII</w:t>
      </w:r>
      <w:r>
        <w:rPr>
          <w:rFonts w:hint="eastAsia" w:cs="Arial" w:asciiTheme="minorEastAsia" w:hAnsiTheme="minorEastAsia" w:eastAsiaTheme="minorEastAsia"/>
          <w:sz w:val="24"/>
        </w:rPr>
        <w:t>基金和香港互认基金的比例不超过基金资产的</w:t>
      </w:r>
      <w:r>
        <w:rPr>
          <w:rFonts w:cs="Arial" w:asciiTheme="minorEastAsia" w:hAnsiTheme="minorEastAsia" w:eastAsiaTheme="minorEastAsia"/>
          <w:sz w:val="24"/>
        </w:rPr>
        <w:t>20%</w:t>
      </w:r>
      <w:r>
        <w:rPr>
          <w:rFonts w:hint="eastAsia" w:cs="Arial" w:asciiTheme="minorEastAsia" w:hAnsiTheme="minorEastAsia" w:eastAsiaTheme="minorEastAsia"/>
          <w:sz w:val="24"/>
        </w:rPr>
        <w:t>；投资于商品基金（含商品期货基金和黄金ETF）的比例不超过基金资产的10%；</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w:t>
      </w:r>
      <w:r>
        <w:rPr>
          <w:rFonts w:hint="eastAsia" w:cs="Arial" w:asciiTheme="minorEastAsia" w:hAnsiTheme="minorEastAsia" w:eastAsiaTheme="minorEastAsia"/>
          <w:sz w:val="24"/>
        </w:rPr>
        <w:t>2</w:t>
      </w:r>
      <w:r>
        <w:rPr>
          <w:rFonts w:cs="Arial" w:asciiTheme="minorEastAsia" w:hAnsiTheme="minorEastAsia" w:eastAsiaTheme="minorEastAsia"/>
          <w:sz w:val="24"/>
        </w:rPr>
        <w:t>）本</w:t>
      </w:r>
      <w:r>
        <w:rPr>
          <w:rFonts w:hint="eastAsia" w:cs="Arial" w:asciiTheme="minorEastAsia" w:hAnsiTheme="minorEastAsia" w:eastAsiaTheme="minorEastAsia"/>
          <w:sz w:val="24"/>
        </w:rPr>
        <w:t>基金保留的现金或到期日在一年以内的政府债券的比例合计不低于基金资产净值的5%，其中现金不包括结算备付金、存出保证金、应收申购款等；</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w:t>
      </w:r>
      <w:r>
        <w:rPr>
          <w:rFonts w:hint="eastAsia" w:cs="Arial" w:asciiTheme="minorEastAsia" w:hAnsiTheme="minorEastAsia" w:eastAsiaTheme="minorEastAsia"/>
          <w:sz w:val="24"/>
        </w:rPr>
        <w:t>3</w:t>
      </w:r>
      <w:r>
        <w:rPr>
          <w:rFonts w:cs="Arial" w:asciiTheme="minorEastAsia" w:hAnsiTheme="minorEastAsia" w:eastAsiaTheme="minorEastAsia"/>
          <w:sz w:val="24"/>
        </w:rPr>
        <w:t>）</w:t>
      </w:r>
      <w:r>
        <w:rPr>
          <w:rFonts w:hint="eastAsia" w:cs="Arial" w:asciiTheme="minorEastAsia" w:hAnsiTheme="minorEastAsia" w:eastAsiaTheme="minorEastAsia"/>
          <w:sz w:val="24"/>
        </w:rPr>
        <w:t>本基金持有单只基金的市值，不高于本基金资产净值的20%，且不得持有其他基金中基金；</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（4）本基金投资其他基金时，被投资基金的运作期限不少于</w:t>
      </w:r>
      <w:r>
        <w:rPr>
          <w:rFonts w:cs="Arial" w:asciiTheme="minorEastAsia" w:hAnsiTheme="minorEastAsia" w:eastAsiaTheme="minorEastAsia"/>
          <w:sz w:val="24"/>
        </w:rPr>
        <w:t>1</w:t>
      </w:r>
      <w:r>
        <w:rPr>
          <w:rFonts w:hint="eastAsia" w:cs="Arial" w:asciiTheme="minorEastAsia" w:hAnsiTheme="minorEastAsia" w:eastAsiaTheme="minorEastAsia"/>
          <w:sz w:val="24"/>
        </w:rPr>
        <w:t>年，最近定期披露的基金净资产应当不低于1亿元；</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cs="Arial" w:asciiTheme="minorEastAsia" w:hAnsiTheme="minorEastAsia" w:eastAsiaTheme="minorEastAsia"/>
          <w:sz w:val="24"/>
        </w:rPr>
        <w:t>5</w:t>
      </w:r>
      <w:r>
        <w:rPr>
          <w:rFonts w:hint="eastAsia" w:cs="Arial" w:asciiTheme="minorEastAsia" w:hAnsiTheme="minorEastAsia" w:eastAsiaTheme="minorEastAsia"/>
          <w:sz w:val="24"/>
        </w:rPr>
        <w:t>）本基金管理人管理且在本基金托管人处托管的全部基金（ETF联接基金除外）持有单只基金不超过被投资基金净资产的20%，被投资基金净资产规模以最近定期报告披露的规模为准；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cs="Arial" w:asciiTheme="minorEastAsia" w:hAnsiTheme="minorEastAsia" w:eastAsiaTheme="minorEastAsia"/>
          <w:sz w:val="24"/>
        </w:rPr>
        <w:t>6</w:t>
      </w:r>
      <w:r>
        <w:rPr>
          <w:rFonts w:hint="eastAsia" w:cs="Arial" w:asciiTheme="minorEastAsia" w:hAnsiTheme="minorEastAsia" w:eastAsiaTheme="minorEastAsia"/>
          <w:sz w:val="24"/>
        </w:rPr>
        <w:t>）本基金投资于流通受限基金不高于本基金资产净值的10%；流通受限基金是指封闭运作基金、定期开放基金等由基金合同规定明确在一定期限内不可赎回的基金；</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cs="Arial" w:asciiTheme="minorEastAsia" w:hAnsiTheme="minorEastAsia" w:eastAsiaTheme="minorEastAsia"/>
          <w:sz w:val="24"/>
        </w:rPr>
        <w:t>7</w:t>
      </w:r>
      <w:r>
        <w:rPr>
          <w:rFonts w:hint="eastAsia" w:cs="Arial" w:asciiTheme="minorEastAsia" w:hAnsiTheme="minorEastAsia" w:eastAsiaTheme="minorEastAsia"/>
          <w:sz w:val="24"/>
        </w:rPr>
        <w:t>）</w:t>
      </w:r>
      <w:r>
        <w:rPr>
          <w:rFonts w:cs="Arial" w:asciiTheme="minorEastAsia" w:hAnsiTheme="minorEastAsia" w:eastAsiaTheme="minorEastAsia"/>
          <w:sz w:val="24"/>
        </w:rPr>
        <w:t>本基金持有一家公司</w:t>
      </w:r>
      <w:r>
        <w:rPr>
          <w:rFonts w:hint="eastAsia" w:cs="Arial" w:asciiTheme="minorEastAsia" w:hAnsiTheme="minorEastAsia" w:eastAsiaTheme="minorEastAsia"/>
          <w:sz w:val="24"/>
        </w:rPr>
        <w:t>发行</w:t>
      </w:r>
      <w:r>
        <w:rPr>
          <w:rFonts w:cs="Arial" w:asciiTheme="minorEastAsia" w:hAnsiTheme="minorEastAsia" w:eastAsiaTheme="minorEastAsia"/>
          <w:sz w:val="24"/>
        </w:rPr>
        <w:t>的</w:t>
      </w:r>
      <w:r>
        <w:rPr>
          <w:rFonts w:hint="eastAsia" w:cs="Arial" w:asciiTheme="minorEastAsia" w:hAnsiTheme="minorEastAsia" w:eastAsiaTheme="minorEastAsia"/>
          <w:sz w:val="24"/>
        </w:rPr>
        <w:t>证券（同一家公司在内地和香港同时上市的A+H股合并计算且不含本基金所投资的基金份额）</w:t>
      </w:r>
      <w:r>
        <w:rPr>
          <w:rFonts w:cs="Arial" w:asciiTheme="minorEastAsia" w:hAnsiTheme="minorEastAsia" w:eastAsiaTheme="minorEastAsia"/>
          <w:sz w:val="24"/>
        </w:rPr>
        <w:t>，其市值不超过基金资产净值的10％；</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（8）本基金管理人管理</w:t>
      </w:r>
      <w:r>
        <w:rPr>
          <w:rFonts w:hint="eastAsia" w:cs="Arial" w:asciiTheme="minorEastAsia" w:hAnsiTheme="minorEastAsia" w:eastAsiaTheme="minorEastAsia"/>
          <w:sz w:val="24"/>
        </w:rPr>
        <w:t>且在本基金托管人处托管</w:t>
      </w:r>
      <w:r>
        <w:rPr>
          <w:rFonts w:cs="Arial" w:asciiTheme="minorEastAsia" w:hAnsiTheme="minorEastAsia" w:eastAsiaTheme="minorEastAsia"/>
          <w:sz w:val="24"/>
        </w:rPr>
        <w:t>的全部基金持有一家公司发行的证券</w:t>
      </w:r>
      <w:r>
        <w:rPr>
          <w:rFonts w:hint="eastAsia" w:cs="Arial" w:asciiTheme="minorEastAsia" w:hAnsiTheme="minorEastAsia" w:eastAsiaTheme="minorEastAsia"/>
          <w:sz w:val="24"/>
        </w:rPr>
        <w:t>（同一家公司在内地和香港同时上市的A+H股合并计算且不含本基金所投资的基金份额）</w:t>
      </w:r>
      <w:r>
        <w:rPr>
          <w:rFonts w:cs="Arial" w:asciiTheme="minorEastAsia" w:hAnsiTheme="minorEastAsia" w:eastAsiaTheme="minorEastAsia"/>
          <w:sz w:val="24"/>
        </w:rPr>
        <w:t>，不超过该证券的10％</w:t>
      </w:r>
      <w:r>
        <w:rPr>
          <w:rFonts w:hint="eastAsia" w:cs="Arial" w:asciiTheme="minorEastAsia" w:hAnsiTheme="minorEastAsia" w:eastAsiaTheme="minorEastAsia"/>
          <w:sz w:val="24"/>
        </w:rPr>
        <w:t>，完全按照有关指数的构成比例进行证券投资的基金品种可以不受此条款规定的比例限制</w:t>
      </w:r>
      <w:r>
        <w:rPr>
          <w:rFonts w:cs="Arial" w:asciiTheme="minorEastAsia" w:hAnsiTheme="minorEastAsia" w:eastAsiaTheme="minorEastAsia"/>
          <w:sz w:val="24"/>
        </w:rPr>
        <w:t>；</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（9）本基金管理人管理且在本基金托管人处托管的全部开放式基金（包括开放式基金以及处于开放期的定期开放基金）持有一家上市公司发行的可流通股票，不得超过该上市公司可流通股票的</w:t>
      </w:r>
      <w:r>
        <w:rPr>
          <w:rFonts w:cs="Arial" w:asciiTheme="minorEastAsia" w:hAnsiTheme="minorEastAsia" w:eastAsiaTheme="minorEastAsia"/>
          <w:sz w:val="24"/>
        </w:rPr>
        <w:t>15%</w:t>
      </w:r>
      <w:r>
        <w:rPr>
          <w:rFonts w:hint="eastAsia" w:cs="Arial" w:asciiTheme="minorEastAsia" w:hAnsiTheme="minorEastAsia" w:eastAsiaTheme="minorEastAsia"/>
          <w:sz w:val="24"/>
        </w:rPr>
        <w:t>；本基金管理人管理且在本基金托管人处托管的全部投资组合持有一家上市公司发行的可流通股票，不得超过该上市公司可流通股票的</w:t>
      </w:r>
      <w:r>
        <w:rPr>
          <w:rFonts w:cs="Arial" w:asciiTheme="minorEastAsia" w:hAnsiTheme="minorEastAsia" w:eastAsiaTheme="minorEastAsia"/>
          <w:sz w:val="24"/>
        </w:rPr>
        <w:t>30%</w:t>
      </w:r>
      <w:r>
        <w:rPr>
          <w:rFonts w:hint="eastAsia" w:cs="Arial" w:asciiTheme="minorEastAsia" w:hAnsiTheme="minorEastAsia" w:eastAsiaTheme="minorEastAsia"/>
          <w:sz w:val="24"/>
        </w:rPr>
        <w:t>；完全按照有关指数的构成比例进行证券投资的开放式基金以及中国证监会认定的特殊投资组合可不受前述比例限制；</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w:t>
      </w:r>
      <w:r>
        <w:rPr>
          <w:rFonts w:cs="Arial" w:asciiTheme="minorEastAsia" w:hAnsiTheme="minorEastAsia" w:eastAsiaTheme="minorEastAsia"/>
          <w:sz w:val="24"/>
        </w:rPr>
        <w:t>0</w:t>
      </w:r>
      <w:r>
        <w:rPr>
          <w:rFonts w:hint="eastAsia" w:cs="Arial" w:asciiTheme="minorEastAsia" w:hAnsiTheme="minorEastAsia" w:eastAsiaTheme="minorEastAsia"/>
          <w:sz w:val="24"/>
        </w:rPr>
        <w:t>）</w:t>
      </w:r>
      <w:r>
        <w:rPr>
          <w:rFonts w:cs="Arial" w:asciiTheme="minorEastAsia" w:hAnsiTheme="minorEastAsia" w:eastAsiaTheme="minorEastAsia"/>
          <w:sz w:val="24"/>
        </w:rPr>
        <w:t>本基金主动投资于流动性受限资产的市值合计不得超过基金资产净值的15%</w:t>
      </w:r>
      <w:r>
        <w:rPr>
          <w:rFonts w:hint="eastAsia" w:cs="Arial" w:asciiTheme="minorEastAsia" w:hAnsiTheme="minorEastAsia" w:eastAsiaTheme="minorEastAsia"/>
          <w:sz w:val="24"/>
        </w:rPr>
        <w:t>；因证券市场波动、上市公司股票停牌、所投资基金暂停或延期办理赎回申请、基金规模变动等基金管理人之外的因素致使基金不符合该比例限制的，基金管理人不得主动新增流动性受限资产的投资；</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（11）本基金与私募类证券资管产品及中国证监会认定的其他主体为交易对手开展逆回购交易的，可接受质押品的资质要求应当与基金合同约定的投资范围保持一致；</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w:t>
      </w:r>
      <w:r>
        <w:rPr>
          <w:rFonts w:hint="eastAsia" w:cs="Arial" w:asciiTheme="minorEastAsia" w:hAnsiTheme="minorEastAsia" w:eastAsiaTheme="minorEastAsia"/>
          <w:sz w:val="24"/>
        </w:rPr>
        <w:t>1</w:t>
      </w:r>
      <w:r>
        <w:rPr>
          <w:rFonts w:cs="Arial" w:asciiTheme="minorEastAsia" w:hAnsiTheme="minorEastAsia" w:eastAsiaTheme="minorEastAsia"/>
          <w:sz w:val="24"/>
        </w:rPr>
        <w:t>2）本基金投资于同一原始权益人的各类资产支持证券的比例，不得超过基金资产净值的10％；</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w:t>
      </w:r>
      <w:r>
        <w:rPr>
          <w:rFonts w:hint="eastAsia" w:cs="Arial" w:asciiTheme="minorEastAsia" w:hAnsiTheme="minorEastAsia" w:eastAsiaTheme="minorEastAsia"/>
          <w:sz w:val="24"/>
        </w:rPr>
        <w:t>1</w:t>
      </w:r>
      <w:r>
        <w:rPr>
          <w:rFonts w:cs="Arial" w:asciiTheme="minorEastAsia" w:hAnsiTheme="minorEastAsia" w:eastAsiaTheme="minorEastAsia"/>
          <w:sz w:val="24"/>
        </w:rPr>
        <w:t>3）本基金持有的全部资产支持证券，其市值不得超过基金资产净值的20％；</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w:t>
      </w:r>
      <w:r>
        <w:rPr>
          <w:rFonts w:hint="eastAsia" w:cs="Arial" w:asciiTheme="minorEastAsia" w:hAnsiTheme="minorEastAsia" w:eastAsiaTheme="minorEastAsia"/>
          <w:sz w:val="24"/>
        </w:rPr>
        <w:t>1</w:t>
      </w:r>
      <w:r>
        <w:rPr>
          <w:rFonts w:cs="Arial" w:asciiTheme="minorEastAsia" w:hAnsiTheme="minorEastAsia" w:eastAsiaTheme="minorEastAsia"/>
          <w:sz w:val="24"/>
        </w:rPr>
        <w:t>4）本基金持有的同一(指同一信用级别)资产支持证券的比例，不得超过该资产支持证券规模的10％；</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（15）本基金管理人管理</w:t>
      </w:r>
      <w:r>
        <w:rPr>
          <w:rFonts w:hint="eastAsia" w:cs="Arial" w:asciiTheme="minorEastAsia" w:hAnsiTheme="minorEastAsia" w:eastAsiaTheme="minorEastAsia"/>
          <w:sz w:val="24"/>
        </w:rPr>
        <w:t>且在本基金托管人处托管</w:t>
      </w:r>
      <w:r>
        <w:rPr>
          <w:rFonts w:cs="Arial" w:asciiTheme="minorEastAsia" w:hAnsiTheme="minorEastAsia" w:eastAsiaTheme="minorEastAsia"/>
          <w:sz w:val="24"/>
        </w:rPr>
        <w:t>的全部基金投资于同一原始权益人的各类资产支持证券，不得超过其各类资产支持证券合计规模的10％；</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（16）本基金应投资于信用级别评级为BBB以上(含BBB)的资产支持证券。基金持有资产支持证券期间，如果其信用等级下降、不再符合投资标准，应在评级报告发布之日起3个月内予以全部卖出；</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w:t>
      </w:r>
      <w:r>
        <w:rPr>
          <w:rFonts w:hint="eastAsia" w:cs="Arial" w:asciiTheme="minorEastAsia" w:hAnsiTheme="minorEastAsia" w:eastAsiaTheme="minorEastAsia"/>
          <w:sz w:val="24"/>
        </w:rPr>
        <w:t>1</w:t>
      </w:r>
      <w:r>
        <w:rPr>
          <w:rFonts w:cs="Arial" w:asciiTheme="minorEastAsia" w:hAnsiTheme="minorEastAsia" w:eastAsiaTheme="minorEastAsia"/>
          <w:sz w:val="24"/>
        </w:rPr>
        <w:t>7）基金财产参与股票发行申购，本基金所申报的金额不超过本基金的总资产，本基金所申报的股票数量不超过拟发行股票公司本次发行股票的总量；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w:t>
      </w:r>
      <w:r>
        <w:rPr>
          <w:rFonts w:cs="Arial" w:asciiTheme="minorEastAsia" w:hAnsiTheme="minorEastAsia" w:eastAsiaTheme="minorEastAsia"/>
          <w:sz w:val="24"/>
        </w:rPr>
        <w:t>8</w:t>
      </w:r>
      <w:r>
        <w:rPr>
          <w:rFonts w:hint="eastAsia" w:cs="Arial" w:asciiTheme="minorEastAsia" w:hAnsiTheme="minorEastAsia" w:eastAsiaTheme="minorEastAsia"/>
          <w:sz w:val="24"/>
        </w:rPr>
        <w:t>）本基金</w:t>
      </w:r>
      <w:r>
        <w:rPr>
          <w:rFonts w:cs="Arial" w:asciiTheme="minorEastAsia" w:hAnsiTheme="minorEastAsia" w:eastAsiaTheme="minorEastAsia"/>
          <w:sz w:val="24"/>
        </w:rPr>
        <w:t>不得</w:t>
      </w:r>
      <w:r>
        <w:rPr>
          <w:rFonts w:hint="eastAsia" w:cs="Arial" w:asciiTheme="minorEastAsia" w:hAnsiTheme="minorEastAsia" w:eastAsiaTheme="minorEastAsia"/>
          <w:sz w:val="24"/>
        </w:rPr>
        <w:t>持有具有复杂、衍生品性质的基金份额，包括分级基金和中国证监会认定的其他基金份额；</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（19）</w:t>
      </w:r>
      <w:r>
        <w:rPr>
          <w:rFonts w:hint="eastAsia" w:cs="Arial" w:asciiTheme="minorEastAsia" w:hAnsiTheme="minorEastAsia" w:eastAsiaTheme="minorEastAsia"/>
          <w:sz w:val="24"/>
        </w:rPr>
        <w:t>本</w:t>
      </w:r>
      <w:r>
        <w:rPr>
          <w:rFonts w:cs="Arial" w:asciiTheme="minorEastAsia" w:hAnsiTheme="minorEastAsia" w:eastAsiaTheme="minorEastAsia"/>
          <w:sz w:val="24"/>
        </w:rPr>
        <w:t>基金</w:t>
      </w:r>
      <w:r>
        <w:rPr>
          <w:rFonts w:hint="eastAsia" w:cs="Arial" w:asciiTheme="minorEastAsia" w:hAnsiTheme="minorEastAsia" w:eastAsiaTheme="minorEastAsia"/>
          <w:sz w:val="24"/>
        </w:rPr>
        <w:t>总资产不得</w:t>
      </w:r>
      <w:r>
        <w:rPr>
          <w:rFonts w:cs="Arial" w:asciiTheme="minorEastAsia" w:hAnsiTheme="minorEastAsia" w:eastAsiaTheme="minorEastAsia"/>
          <w:sz w:val="24"/>
        </w:rPr>
        <w:t>超过基金净资产的</w:t>
      </w:r>
      <w:r>
        <w:rPr>
          <w:rFonts w:hint="eastAsia" w:cs="Arial" w:asciiTheme="minorEastAsia" w:hAnsiTheme="minorEastAsia" w:eastAsiaTheme="minorEastAsia"/>
          <w:sz w:val="24"/>
        </w:rPr>
        <w:t>140%</w:t>
      </w:r>
      <w:r>
        <w:rPr>
          <w:rFonts w:cs="Arial" w:asciiTheme="minorEastAsia" w:hAnsiTheme="minorEastAsia" w:eastAsiaTheme="minorEastAsia"/>
          <w:sz w:val="24"/>
        </w:rPr>
        <w:t>；</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（20）货币市场基金投资占基金资产比例不超过</w:t>
      </w:r>
      <w:r>
        <w:rPr>
          <w:rFonts w:hint="eastAsia" w:cs="Arial" w:asciiTheme="minorEastAsia" w:hAnsiTheme="minorEastAsia" w:eastAsiaTheme="minorEastAsia"/>
          <w:sz w:val="24"/>
        </w:rPr>
        <w:t>1</w:t>
      </w:r>
      <w:r>
        <w:rPr>
          <w:rFonts w:cs="Arial" w:asciiTheme="minorEastAsia" w:hAnsiTheme="minorEastAsia" w:eastAsiaTheme="minorEastAsia"/>
          <w:sz w:val="24"/>
        </w:rPr>
        <w:t>5%；</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w:t>
      </w:r>
      <w:r>
        <w:rPr>
          <w:rFonts w:cs="Arial" w:asciiTheme="minorEastAsia" w:hAnsiTheme="minorEastAsia" w:eastAsiaTheme="minorEastAsia"/>
          <w:sz w:val="24"/>
        </w:rPr>
        <w:t>1</w:t>
      </w:r>
      <w:r>
        <w:rPr>
          <w:rFonts w:hint="eastAsia" w:cs="Arial" w:asciiTheme="minorEastAsia" w:hAnsiTheme="minorEastAsia" w:eastAsiaTheme="minorEastAsia"/>
          <w:sz w:val="24"/>
        </w:rPr>
        <w:t>）本基金投资存托凭证的比例限制依照内地上市交易的股票执行，与境内上市交易的股票合并计算，法律法规或监管部门另有要求的除外；</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w:t>
      </w:r>
      <w:r>
        <w:rPr>
          <w:rFonts w:cs="Arial" w:asciiTheme="minorEastAsia" w:hAnsiTheme="minorEastAsia" w:eastAsiaTheme="minorEastAsia"/>
          <w:sz w:val="24"/>
        </w:rPr>
        <w:t>2</w:t>
      </w:r>
      <w:r>
        <w:rPr>
          <w:rFonts w:hint="eastAsia" w:cs="Arial" w:asciiTheme="minorEastAsia" w:hAnsiTheme="minorEastAsia" w:eastAsiaTheme="minorEastAsia"/>
          <w:sz w:val="24"/>
        </w:rPr>
        <w:t>）法律法规及中国证监会规定的和《基金合同》约定的其他投资限制。</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因证券市场波动、基金规模变动、本基金所投资的基金发生流动性限制、暂停申购、赎回或二级市场交易停牌等基金管理人之外的因素致使基金投资不符合前款第（3）项、第（</w:t>
      </w:r>
      <w:r>
        <w:rPr>
          <w:rFonts w:cs="Arial" w:asciiTheme="minorEastAsia" w:hAnsiTheme="minorEastAsia" w:eastAsiaTheme="minorEastAsia"/>
          <w:sz w:val="24"/>
        </w:rPr>
        <w:t>5</w:t>
      </w:r>
      <w:r>
        <w:rPr>
          <w:rFonts w:hint="eastAsia" w:cs="Arial" w:asciiTheme="minorEastAsia" w:hAnsiTheme="minorEastAsia" w:eastAsiaTheme="minorEastAsia"/>
          <w:sz w:val="24"/>
        </w:rPr>
        <w:t>）项规定的投资比例的，基金管理人应当在 20 个交易日内进行调整，但中国证监会规定的特殊情形除外。</w:t>
      </w:r>
      <w:r>
        <w:rPr>
          <w:rFonts w:cs="Arial" w:asciiTheme="minorEastAsia" w:hAnsiTheme="minorEastAsia" w:eastAsiaTheme="minorEastAsia"/>
          <w:sz w:val="24"/>
        </w:rPr>
        <w:t>除上述</w:t>
      </w:r>
      <w:r>
        <w:rPr>
          <w:rFonts w:hint="eastAsia" w:cs="Arial" w:asciiTheme="minorEastAsia" w:hAnsiTheme="minorEastAsia" w:eastAsiaTheme="minorEastAsia"/>
          <w:sz w:val="24"/>
        </w:rPr>
        <w:t>第（2）项、</w:t>
      </w:r>
      <w:r>
        <w:rPr>
          <w:rFonts w:cs="Arial" w:asciiTheme="minorEastAsia" w:hAnsiTheme="minorEastAsia" w:eastAsiaTheme="minorEastAsia"/>
          <w:sz w:val="24"/>
        </w:rPr>
        <w:t>第</w:t>
      </w:r>
      <w:r>
        <w:rPr>
          <w:rFonts w:hint="eastAsia" w:cs="Arial" w:asciiTheme="minorEastAsia" w:hAnsiTheme="minorEastAsia" w:eastAsiaTheme="minorEastAsia"/>
          <w:sz w:val="24"/>
        </w:rPr>
        <w:t>（3）项、第（</w:t>
      </w:r>
      <w:r>
        <w:rPr>
          <w:rFonts w:cs="Arial" w:asciiTheme="minorEastAsia" w:hAnsiTheme="minorEastAsia" w:eastAsiaTheme="minorEastAsia"/>
          <w:sz w:val="24"/>
        </w:rPr>
        <w:t>5</w:t>
      </w:r>
      <w:r>
        <w:rPr>
          <w:rFonts w:hint="eastAsia" w:cs="Arial" w:asciiTheme="minorEastAsia" w:hAnsiTheme="minorEastAsia" w:eastAsiaTheme="minorEastAsia"/>
          <w:sz w:val="24"/>
        </w:rPr>
        <w:t>）项、第（1</w:t>
      </w:r>
      <w:r>
        <w:rPr>
          <w:rFonts w:cs="Arial" w:asciiTheme="minorEastAsia" w:hAnsiTheme="minorEastAsia" w:eastAsiaTheme="minorEastAsia"/>
          <w:sz w:val="24"/>
        </w:rPr>
        <w:t>0</w:t>
      </w:r>
      <w:r>
        <w:rPr>
          <w:rFonts w:hint="eastAsia" w:cs="Arial" w:asciiTheme="minorEastAsia" w:hAnsiTheme="minorEastAsia" w:eastAsiaTheme="minorEastAsia"/>
          <w:sz w:val="24"/>
        </w:rPr>
        <w:t>）项、第（</w:t>
      </w:r>
      <w:r>
        <w:rPr>
          <w:rFonts w:cs="Arial" w:asciiTheme="minorEastAsia" w:hAnsiTheme="minorEastAsia" w:eastAsiaTheme="minorEastAsia"/>
          <w:sz w:val="24"/>
        </w:rPr>
        <w:t>11</w:t>
      </w:r>
      <w:r>
        <w:rPr>
          <w:rFonts w:hint="eastAsia" w:cs="Arial" w:asciiTheme="minorEastAsia" w:hAnsiTheme="minorEastAsia" w:eastAsiaTheme="minorEastAsia"/>
          <w:sz w:val="24"/>
        </w:rPr>
        <w:t>）项、第（1</w:t>
      </w:r>
      <w:r>
        <w:rPr>
          <w:rFonts w:cs="Arial" w:asciiTheme="minorEastAsia" w:hAnsiTheme="minorEastAsia" w:eastAsiaTheme="minorEastAsia"/>
          <w:sz w:val="24"/>
        </w:rPr>
        <w:t>6</w:t>
      </w:r>
      <w:r>
        <w:rPr>
          <w:rFonts w:hint="eastAsia" w:cs="Arial" w:asciiTheme="minorEastAsia" w:hAnsiTheme="minorEastAsia" w:eastAsiaTheme="minorEastAsia"/>
          <w:sz w:val="24"/>
        </w:rPr>
        <w:t>）项另有约定</w:t>
      </w:r>
      <w:r>
        <w:rPr>
          <w:rFonts w:cs="Arial" w:asciiTheme="minorEastAsia" w:hAnsiTheme="minorEastAsia" w:eastAsiaTheme="minorEastAsia"/>
          <w:sz w:val="24"/>
        </w:rPr>
        <w:t>外，因证券市场波动、</w:t>
      </w:r>
      <w:r>
        <w:rPr>
          <w:rFonts w:hint="eastAsia" w:cs="Arial" w:asciiTheme="minorEastAsia" w:hAnsiTheme="minorEastAsia" w:eastAsiaTheme="minorEastAsia"/>
          <w:sz w:val="24"/>
        </w:rPr>
        <w:t>证券发行人</w:t>
      </w:r>
      <w:r>
        <w:rPr>
          <w:rFonts w:cs="Arial" w:asciiTheme="minorEastAsia" w:hAnsiTheme="minorEastAsia" w:eastAsiaTheme="minorEastAsia"/>
          <w:sz w:val="24"/>
        </w:rPr>
        <w:t>合并</w:t>
      </w:r>
      <w:r>
        <w:rPr>
          <w:rFonts w:hint="eastAsia" w:cs="Arial" w:asciiTheme="minorEastAsia" w:hAnsiTheme="minorEastAsia" w:eastAsiaTheme="minorEastAsia"/>
          <w:sz w:val="24"/>
        </w:rPr>
        <w:t>或</w:t>
      </w:r>
      <w:r>
        <w:rPr>
          <w:rFonts w:cs="Arial" w:asciiTheme="minorEastAsia" w:hAnsiTheme="minorEastAsia" w:eastAsiaTheme="minorEastAsia"/>
          <w:sz w:val="24"/>
        </w:rPr>
        <w:t>基金规模变动等基金管理人之外的因素致使基金投资比例不符合上述规定投资比例的，基金管理人应当在</w:t>
      </w:r>
      <w:r>
        <w:rPr>
          <w:rFonts w:hint="eastAsia" w:cs="Arial" w:asciiTheme="minorEastAsia" w:hAnsiTheme="minorEastAsia" w:eastAsiaTheme="minorEastAsia"/>
          <w:sz w:val="24"/>
        </w:rPr>
        <w:t>10</w:t>
      </w:r>
      <w:r>
        <w:rPr>
          <w:rFonts w:cs="Arial" w:asciiTheme="minorEastAsia" w:hAnsiTheme="minorEastAsia" w:eastAsiaTheme="minorEastAsia"/>
          <w:sz w:val="24"/>
        </w:rPr>
        <w:t>个交易日内进行调整</w:t>
      </w:r>
      <w:r>
        <w:rPr>
          <w:rFonts w:hint="eastAsia" w:cs="Arial" w:asciiTheme="minorEastAsia" w:hAnsiTheme="minorEastAsia" w:eastAsiaTheme="minorEastAsia"/>
          <w:sz w:val="24"/>
        </w:rPr>
        <w:t>，但中国证监会规定的特殊情形除外</w:t>
      </w:r>
      <w:r>
        <w:rPr>
          <w:rFonts w:cs="Arial" w:asciiTheme="minorEastAsia" w:hAnsiTheme="minorEastAsia" w:eastAsiaTheme="minorEastAsia"/>
          <w:sz w:val="24"/>
        </w:rPr>
        <w:t>。</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基金管理人应当自基金合同生效之日起</w:t>
      </w:r>
      <w:r>
        <w:rPr>
          <w:rFonts w:hint="eastAsia" w:cs="Arial" w:asciiTheme="minorEastAsia" w:hAnsiTheme="minorEastAsia" w:eastAsiaTheme="minorEastAsia"/>
          <w:sz w:val="24"/>
        </w:rPr>
        <w:t>6</w:t>
      </w:r>
      <w:r>
        <w:rPr>
          <w:rFonts w:cs="Arial" w:asciiTheme="minorEastAsia" w:hAnsiTheme="minorEastAsia" w:eastAsiaTheme="minorEastAsia"/>
          <w:sz w:val="24"/>
        </w:rPr>
        <w:t>个月内使基金的投资组合比例符合基金合同的有关约定。</w:t>
      </w:r>
      <w:r>
        <w:rPr>
          <w:rFonts w:hint="eastAsia" w:cs="Arial" w:asciiTheme="minorEastAsia" w:hAnsiTheme="minorEastAsia" w:eastAsiaTheme="minorEastAsia"/>
          <w:sz w:val="24"/>
        </w:rPr>
        <w:t>在上述期间内，本基金的投资范围、投资策略应当符合基金合同的约定。</w:t>
      </w:r>
      <w:r>
        <w:rPr>
          <w:rFonts w:cs="Arial" w:asciiTheme="minorEastAsia" w:hAnsiTheme="minorEastAsia" w:eastAsiaTheme="minorEastAsia"/>
          <w:sz w:val="24"/>
        </w:rPr>
        <w:t>基金托管人对基金的投资的监督与检查自基金合同生效之日起开始。</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如果法律法规或监管部门对上述投资组合比例限制进行变更的，以变更后的规定为准。</w:t>
      </w:r>
      <w:r>
        <w:rPr>
          <w:rFonts w:cs="Arial" w:asciiTheme="minorEastAsia" w:hAnsiTheme="minorEastAsia" w:eastAsiaTheme="minorEastAsia"/>
          <w:sz w:val="24"/>
        </w:rPr>
        <w:t>法律法规或监管部门取消上述限制，如适用于本基金，基金管理人在履行适当程序后</w:t>
      </w:r>
      <w:r>
        <w:rPr>
          <w:rFonts w:hint="eastAsia" w:cs="Arial" w:asciiTheme="minorEastAsia" w:hAnsiTheme="minorEastAsia" w:eastAsiaTheme="minorEastAsia"/>
          <w:sz w:val="24"/>
        </w:rPr>
        <w:t>，</w:t>
      </w:r>
      <w:r>
        <w:rPr>
          <w:rFonts w:cs="Arial" w:asciiTheme="minorEastAsia" w:hAnsiTheme="minorEastAsia" w:eastAsiaTheme="minorEastAsia"/>
          <w:sz w:val="24"/>
        </w:rPr>
        <w:t>则本基金投资不再受相关限制。</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（三）基金托管人</w:t>
      </w:r>
      <w:bookmarkStart w:id="4" w:name="OLE_LINK1"/>
      <w:r>
        <w:rPr>
          <w:rFonts w:hint="eastAsia" w:cs="Arial" w:asciiTheme="minorEastAsia" w:hAnsiTheme="minorEastAsia" w:eastAsiaTheme="minorEastAsia"/>
          <w:sz w:val="24"/>
        </w:rPr>
        <w:t>根据有关法律法规的规定及《基金合同》的约定，</w:t>
      </w:r>
      <w:bookmarkEnd w:id="4"/>
      <w:r>
        <w:rPr>
          <w:rFonts w:hint="eastAsia" w:cs="Arial" w:asciiTheme="minorEastAsia" w:hAnsiTheme="minorEastAsia" w:eastAsiaTheme="minorEastAsia"/>
          <w:sz w:val="24"/>
        </w:rPr>
        <w:t>对本托管协议第十五条第（九）款基金投资禁止行为通过事后监督方式进行监督。</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法律、行政法规或监管部门取消或变更上述限制，如适用于本基金，基金管理人在履行适当程序后，则本基金投资不再受相关限制或以变更后的规定为准。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（四）基金托管人根据有关法律法规的规定及《基金合同》的约定，对基金管理人投资流通受限证券进行监督。</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asciiTheme="minorEastAsia" w:hAnsiTheme="minorEastAsia" w:eastAsiaTheme="minorEastAsia"/>
          <w:sz w:val="24"/>
        </w:rPr>
        <w:t>基金管理人投资流通受限证券，应事先根据中国证监会相关规定，明确基金投资流通受限证券的比例，</w:t>
      </w:r>
      <w:r>
        <w:rPr>
          <w:rFonts w:hint="eastAsia" w:cs="Arial" w:asciiTheme="minorEastAsia" w:hAnsiTheme="minorEastAsia" w:eastAsiaTheme="minorEastAsia"/>
          <w:sz w:val="24"/>
        </w:rPr>
        <w:t>制订严格的投资决策流程和风险控制制度，防范流动性风险、法律风险和操作风险等各种风险。</w:t>
      </w:r>
    </w:p>
    <w:p>
      <w:pPr>
        <w:adjustRightInd w:val="0"/>
        <w:snapToGrid w:val="0"/>
        <w:spacing w:line="480" w:lineRule="exact"/>
        <w:ind w:firstLine="480" w:firstLineChars="200"/>
        <w:rPr>
          <w:rFonts w:asciiTheme="minorEastAsia" w:hAnsiTheme="minorEastAsia" w:eastAsiaTheme="minorEastAsia"/>
          <w:sz w:val="24"/>
        </w:rPr>
      </w:pPr>
      <w:r>
        <w:rPr>
          <w:rFonts w:hint="eastAsia" w:cs="Arial" w:asciiTheme="minorEastAsia" w:hAnsiTheme="minorEastAsia" w:eastAsiaTheme="minorEastAsia"/>
          <w:sz w:val="24"/>
        </w:rPr>
        <w:t>1.本基金</w:t>
      </w:r>
      <w:r>
        <w:rPr>
          <w:rFonts w:hint="eastAsia" w:asciiTheme="minorEastAsia" w:hAnsiTheme="minorEastAsia" w:eastAsiaTheme="minorEastAsia"/>
          <w:sz w:val="24"/>
        </w:rPr>
        <w:t>投资的流通受限证券须为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pPr>
        <w:adjustRightInd w:val="0"/>
        <w:snapToGrid w:val="0"/>
        <w:spacing w:line="480" w:lineRule="exact"/>
        <w:ind w:firstLine="480" w:firstLineChars="200"/>
        <w:rPr>
          <w:rFonts w:asciiTheme="minorEastAsia" w:hAnsiTheme="minorEastAsia" w:eastAsiaTheme="minorEastAsia"/>
          <w:sz w:val="24"/>
        </w:rPr>
      </w:pPr>
      <w:r>
        <w:rPr>
          <w:rFonts w:hint="eastAsia" w:cs="Arial" w:asciiTheme="minorEastAsia" w:hAnsiTheme="minorEastAsia" w:eastAsiaTheme="minorEastAsia"/>
          <w:sz w:val="24"/>
        </w:rPr>
        <w:t>本基金</w:t>
      </w:r>
      <w:r>
        <w:rPr>
          <w:rFonts w:hint="eastAsia" w:asciiTheme="minorEastAsia" w:hAnsiTheme="minorEastAsia" w:eastAsiaTheme="minorEastAsia"/>
          <w:sz w:val="24"/>
        </w:rPr>
        <w:t>投资的流通受限证券限于可由中国证券登记结算有限责任公司或中央国债登记结算有限责任公司负责登记和存管，并可在证券交易所或全国银行间债券市场交易的证券。</w:t>
      </w:r>
    </w:p>
    <w:p>
      <w:pPr>
        <w:adjustRightInd w:val="0"/>
        <w:snapToGrid w:val="0"/>
        <w:spacing w:line="480" w:lineRule="exact"/>
        <w:ind w:firstLine="480" w:firstLineChars="200"/>
        <w:rPr>
          <w:rFonts w:asciiTheme="minorEastAsia" w:hAnsiTheme="minorEastAsia" w:eastAsiaTheme="minorEastAsia"/>
          <w:sz w:val="24"/>
        </w:rPr>
      </w:pPr>
      <w:r>
        <w:rPr>
          <w:rFonts w:hint="eastAsia" w:cs="Arial" w:asciiTheme="minorEastAsia" w:hAnsiTheme="minorEastAsia" w:eastAsiaTheme="minorEastAsia"/>
          <w:sz w:val="24"/>
        </w:rPr>
        <w:t>本基金</w:t>
      </w:r>
      <w:r>
        <w:rPr>
          <w:rFonts w:hint="eastAsia" w:asciiTheme="minorEastAsia" w:hAnsiTheme="minorEastAsia" w:eastAsiaTheme="minorEastAsia"/>
          <w:sz w:val="24"/>
        </w:rPr>
        <w:t>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pPr>
        <w:adjustRightInd w:val="0"/>
        <w:snapToGrid w:val="0"/>
        <w:spacing w:line="480" w:lineRule="exact"/>
        <w:ind w:firstLine="480" w:firstLineChars="200"/>
        <w:rPr>
          <w:rFonts w:asciiTheme="minorEastAsia" w:hAnsiTheme="minorEastAsia" w:eastAsiaTheme="minorEastAsia"/>
          <w:sz w:val="24"/>
        </w:rPr>
      </w:pPr>
      <w:r>
        <w:rPr>
          <w:rFonts w:hint="eastAsia" w:cs="Arial" w:asciiTheme="minorEastAsia" w:hAnsiTheme="minorEastAsia" w:eastAsiaTheme="minorEastAsia"/>
          <w:sz w:val="24"/>
        </w:rPr>
        <w:t>2.</w:t>
      </w:r>
      <w:r>
        <w:rPr>
          <w:rFonts w:hint="eastAsia" w:asciiTheme="minorEastAsia" w:hAnsiTheme="minorEastAsia" w:eastAsiaTheme="minorEastAsia"/>
          <w:sz w:val="24"/>
        </w:rPr>
        <w:t>基金管理人投资</w:t>
      </w:r>
      <w:bookmarkStart w:id="5" w:name="_Hlk132721344"/>
      <w:r>
        <w:rPr>
          <w:rFonts w:hint="eastAsia" w:asciiTheme="minorEastAsia" w:hAnsiTheme="minorEastAsia" w:eastAsiaTheme="minorEastAsia"/>
          <w:sz w:val="24"/>
        </w:rPr>
        <w:t>非公开发行股票</w:t>
      </w:r>
      <w:bookmarkEnd w:id="5"/>
      <w:r>
        <w:rPr>
          <w:rFonts w:hint="eastAsia" w:asciiTheme="minorEastAsia" w:hAnsiTheme="minorEastAsia" w:eastAsiaTheme="minorEastAsia"/>
          <w:sz w:val="24"/>
        </w:rPr>
        <w:t>，应制订流动性风险处置预案并经其董事会批准。风险处置预案应包括但不限于因投资流通受限证券需要解决的基金投资比例限制失调、基金流动性困难以及相关损失的应对解决措施，以及有关异常情况的处置。</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w:t>
      </w:r>
    </w:p>
    <w:p>
      <w:pPr>
        <w:adjustRightInd w:val="0"/>
        <w:snapToGrid w:val="0"/>
        <w:spacing w:line="480" w:lineRule="exact"/>
        <w:ind w:firstLine="480" w:firstLineChars="200"/>
        <w:rPr>
          <w:rFonts w:asciiTheme="minorEastAsia" w:hAnsiTheme="minorEastAsia" w:eastAsiaTheme="minorEastAsia"/>
          <w:sz w:val="24"/>
        </w:rPr>
      </w:pPr>
      <w:r>
        <w:rPr>
          <w:rFonts w:hint="eastAsia" w:cs="Arial" w:asciiTheme="minorEastAsia" w:hAnsiTheme="minorEastAsia" w:eastAsiaTheme="minorEastAsia"/>
          <w:sz w:val="24"/>
        </w:rPr>
        <w:t>3.</w:t>
      </w:r>
      <w:r>
        <w:rPr>
          <w:rFonts w:hint="eastAsia" w:asciiTheme="minorEastAsia" w:hAnsiTheme="minorEastAsia" w:eastAsiaTheme="minorEastAsia"/>
          <w:sz w:val="24"/>
        </w:rPr>
        <w:t>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（1）中国证监会批准发行非公开发行股票的批准文件。</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（2）非公开发行股票有关发行数量、发行价格、锁定期等发行资料。</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asciiTheme="minorEastAsia" w:hAnsiTheme="minorEastAsia" w:eastAsiaTheme="minorEastAsia"/>
          <w:sz w:val="24"/>
        </w:rPr>
        <w:t>（3）基金拟认购的数量、价格、总成本、账面价值。</w:t>
      </w:r>
    </w:p>
    <w:p>
      <w:pPr>
        <w:adjustRightInd w:val="0"/>
        <w:snapToGrid w:val="0"/>
        <w:spacing w:line="480" w:lineRule="exact"/>
        <w:ind w:firstLine="480" w:firstLineChars="200"/>
        <w:rPr>
          <w:rFonts w:asciiTheme="minorEastAsia" w:hAnsiTheme="minorEastAsia" w:eastAsiaTheme="minorEastAsia"/>
          <w:sz w:val="24"/>
        </w:rPr>
      </w:pPr>
      <w:r>
        <w:rPr>
          <w:rFonts w:hint="eastAsia" w:cs="Arial" w:asciiTheme="minorEastAsia" w:hAnsiTheme="minorEastAsia" w:eastAsiaTheme="minorEastAsia"/>
          <w:sz w:val="24"/>
        </w:rPr>
        <w:t>4.</w:t>
      </w:r>
      <w:r>
        <w:rPr>
          <w:rFonts w:hint="eastAsia" w:asciiTheme="minorEastAsia" w:hAnsiTheme="minorEastAsia" w:eastAsiaTheme="minorEastAsia"/>
          <w:sz w:val="24"/>
        </w:rPr>
        <w:t>基金管理人应在本基金投资非公开发行股票后按照相关法律法规规定期限，在中国证监会规定媒介披露所投资非公开发行股票的名称、数量、总成本、账面价值，以及总成本和账面价值占基金资产净值的比例、锁定期等信息。</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本基金有关投资流通受限证券比例如违反有关限制规定，在合理期限内未能进行及时调整，基金管理人应在两日内编制临时报告书，并登载在规定报刊和规定网站上。</w:t>
      </w:r>
    </w:p>
    <w:p>
      <w:pPr>
        <w:adjustRightInd w:val="0"/>
        <w:snapToGrid w:val="0"/>
        <w:spacing w:line="480" w:lineRule="exact"/>
        <w:ind w:firstLine="480" w:firstLineChars="200"/>
        <w:rPr>
          <w:rFonts w:asciiTheme="minorEastAsia" w:hAnsiTheme="minorEastAsia" w:eastAsiaTheme="minorEastAsia"/>
          <w:sz w:val="24"/>
        </w:rPr>
      </w:pPr>
      <w:r>
        <w:rPr>
          <w:rFonts w:cs="Arial" w:asciiTheme="minorEastAsia" w:hAnsiTheme="minorEastAsia" w:eastAsiaTheme="minorEastAsia"/>
          <w:sz w:val="24"/>
        </w:rPr>
        <w:t>5</w:t>
      </w:r>
      <w:r>
        <w:rPr>
          <w:rFonts w:hint="eastAsia" w:cs="Arial" w:asciiTheme="minorEastAsia" w:hAnsiTheme="minorEastAsia" w:eastAsiaTheme="minorEastAsia"/>
          <w:sz w:val="24"/>
        </w:rPr>
        <w:t>.</w:t>
      </w:r>
      <w:r>
        <w:rPr>
          <w:rFonts w:hint="eastAsia" w:asciiTheme="minorEastAsia" w:hAnsiTheme="minorEastAsia" w:eastAsiaTheme="minorEastAsia"/>
          <w:sz w:val="24"/>
        </w:rPr>
        <w:t>相关法律法规对基金投资流通受限证券有新规定的，从其规定。</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五）基金托管人根据有关法律法规的规定及《基金合同》的约定，对基金资产净值计算、各类基金份额净值计算、应收资金到账、基金费用开支及收入确定、基金收益分配、相关信息披露、基金宣传推介材料中登载基金业绩表现数据等进行监督和核查。</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六）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个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七）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（八）若基金托管人发现基金管理人依据交易程序已经生效的指令违反法律、行政法规和其他有关规定，或者违反《基金合同》约定的，应当及时通知基金管理人，由此造成的损失由基金管理人承担。</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九）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（十）侧袋机制实施期间，本部分约定的投资组合比例、组合限制等约定仅适用于主袋账户。</w:t>
      </w:r>
    </w:p>
    <w:p>
      <w:pPr>
        <w:spacing w:line="480" w:lineRule="exact"/>
        <w:rPr>
          <w:rFonts w:asciiTheme="minorEastAsia" w:hAnsiTheme="minorEastAsia" w:eastAsiaTheme="minorEastAsia"/>
          <w:sz w:val="24"/>
        </w:rPr>
      </w:pPr>
    </w:p>
    <w:bookmarkEnd w:id="3"/>
    <w:p>
      <w:pPr>
        <w:widowControl/>
        <w:spacing w:line="480" w:lineRule="exact"/>
        <w:jc w:val="left"/>
        <w:rPr>
          <w:rFonts w:asciiTheme="minorEastAsia" w:hAnsiTheme="minorEastAsia" w:eastAsiaTheme="minorEastAsia"/>
          <w:b/>
          <w:sz w:val="30"/>
          <w:szCs w:val="20"/>
        </w:rPr>
      </w:pPr>
      <w:bookmarkStart w:id="6" w:name="_Toc118212950"/>
      <w:bookmarkStart w:id="7" w:name="_Toc86727355"/>
      <w:bookmarkStart w:id="8" w:name="_Toc89163368"/>
      <w:bookmarkStart w:id="9" w:name="_Toc86649722"/>
      <w:bookmarkStart w:id="10" w:name="_Toc110765660"/>
      <w:bookmarkStart w:id="11" w:name="_Toc120435783"/>
      <w:bookmarkStart w:id="12" w:name="_Toc108512358"/>
      <w:bookmarkStart w:id="13" w:name="_Toc119402710"/>
      <w:bookmarkStart w:id="14" w:name="_Toc124325888"/>
      <w:bookmarkStart w:id="15" w:name="_Toc86726439"/>
      <w:bookmarkStart w:id="16" w:name="_Toc110761796"/>
      <w:bookmarkStart w:id="17" w:name="_Toc110830492"/>
      <w:bookmarkStart w:id="18" w:name="_Toc86225291"/>
      <w:bookmarkStart w:id="19" w:name="_Toc86737929"/>
      <w:bookmarkStart w:id="20" w:name="_Toc118972648"/>
      <w:bookmarkStart w:id="21" w:name="_Toc86223242"/>
      <w:bookmarkStart w:id="22" w:name="_Toc118774803"/>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四、基金管理人对基金托管人的业务核查</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一）基金管理人对基金托管人履行托管职责情况进行核查，核查事项包括基金托管人安全保管基金财产、开设基金财产的资金账户、证券账户等投资所需账户、复核基金管理人计算的基金资产净值和各类基金份额净值、根据基金管理人指令办理清算交收、相关信息披露和监督基金投资运作等行为。</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二）基金管理人发现基金托管人擅自挪用基金财产、未对基金财产实行分账管理、未执行或无故延迟执行基金管理人资金划拨指令、泄露基金投资信息等违反《基金法》、《基金合同》、本协议及其他有关规定时，应及时以书面或其他双方认可的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积极财产的完整性和真实性，在规定时间内答复基金管理人并改正。</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三）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widowControl/>
        <w:spacing w:line="480" w:lineRule="exact"/>
        <w:jc w:val="left"/>
        <w:rPr>
          <w:rFonts w:asciiTheme="minorEastAsia" w:hAnsiTheme="minorEastAsia" w:eastAsiaTheme="minorEastAsia"/>
          <w:sz w:val="24"/>
        </w:rPr>
      </w:pPr>
      <w:r>
        <w:rPr>
          <w:rFonts w:asciiTheme="minorEastAsia" w:hAnsiTheme="minorEastAsia" w:eastAsiaTheme="minorEastAsia"/>
          <w:sz w:val="24"/>
        </w:rPr>
        <w:br w:type="page"/>
      </w:r>
    </w:p>
    <w:p>
      <w:pPr>
        <w:pStyle w:val="2"/>
        <w:spacing w:before="0" w:after="0" w:line="480" w:lineRule="exact"/>
        <w:jc w:val="center"/>
        <w:rPr>
          <w:rFonts w:asciiTheme="minorEastAsia" w:hAnsiTheme="minorEastAsia" w:eastAsiaTheme="minorEastAsia"/>
          <w:sz w:val="30"/>
        </w:rPr>
      </w:pPr>
      <w:bookmarkStart w:id="23" w:name="_Toc118972649"/>
      <w:bookmarkStart w:id="24" w:name="_Toc84234435"/>
      <w:bookmarkStart w:id="25" w:name="_Toc108512359"/>
      <w:bookmarkStart w:id="26" w:name="_Toc110765661"/>
      <w:bookmarkStart w:id="27" w:name="_Toc120435784"/>
      <w:bookmarkStart w:id="28" w:name="_Toc86204789"/>
      <w:bookmarkStart w:id="29" w:name="_Toc84234388"/>
      <w:bookmarkStart w:id="30" w:name="_Toc119402711"/>
      <w:bookmarkStart w:id="31" w:name="_Toc86727356"/>
      <w:bookmarkStart w:id="32" w:name="_Toc86649723"/>
      <w:bookmarkStart w:id="33" w:name="_Toc124325889"/>
      <w:bookmarkStart w:id="34" w:name="_Toc86726440"/>
      <w:bookmarkStart w:id="35" w:name="_Toc86223243"/>
      <w:bookmarkStart w:id="36" w:name="_Toc89163369"/>
      <w:bookmarkStart w:id="37" w:name="_Toc84133786"/>
      <w:bookmarkStart w:id="38" w:name="_Toc118212951"/>
      <w:bookmarkStart w:id="39" w:name="_Toc110761797"/>
      <w:bookmarkStart w:id="40" w:name="_Toc110830493"/>
      <w:bookmarkStart w:id="41" w:name="_Toc86225292"/>
      <w:bookmarkStart w:id="42" w:name="_Toc118774804"/>
      <w:bookmarkStart w:id="43" w:name="_Toc86737930"/>
      <w:r>
        <w:rPr>
          <w:rFonts w:hint="eastAsia" w:asciiTheme="minorEastAsia" w:hAnsiTheme="minorEastAsia" w:eastAsiaTheme="minorEastAsia"/>
          <w:sz w:val="30"/>
        </w:rPr>
        <w:t>五、基金财产的保管</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（一）基金财产保管的原则</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1.基金财产应独立于基金管理人、基金托管人的固有财产。</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2.基金托管人应安全保管基金财产。</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3.基金托管人按照规定开设基金财产的资金账户、证券账户等投资所需账户。</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4.基金托管人对所托管的不同基金财产分别设置账户，分账管理，独立核算，确保基金财产的完整与独立。</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5.基金托管人按照《基金合同》和本协议的约定保管基金财产，如有特殊情况双方可另行协商解决。基金</w:t>
      </w:r>
      <w:r>
        <w:rPr>
          <w:rFonts w:hint="eastAsia" w:asciiTheme="minorEastAsia" w:hAnsiTheme="minorEastAsia" w:eastAsiaTheme="minorEastAsia"/>
          <w:sz w:val="24"/>
        </w:rPr>
        <w:t>托管人未经基金管理人的指令，不得自行运用、处分、分配本基金的任何资产（不包含基金托管人依据中国证券登记结算有限责任公司结算数据完成场内交易交收、开户银行或交易/登记结算机构扣收交易费、结算费和账户维护费等费用）。</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6.对于因为基金投资产生的应收资产，应由基金管理人负责与有关当事人确定到账日期并通知基金托管人，到账日基金财产没有到达基金托管资金账户的，基金托管人应及时通知基金管理人采取措施进行催收。由此给基金财产造成损失的，基金管理人应负责向有关当事人追偿基金财产的损失，基金托管人应予以必要的协助和配合，但对此不承担</w:t>
      </w:r>
      <w:r>
        <w:rPr>
          <w:rFonts w:hint="eastAsia" w:asciiTheme="minorEastAsia" w:hAnsiTheme="minorEastAsia" w:eastAsiaTheme="minorEastAsia"/>
          <w:sz w:val="24"/>
        </w:rPr>
        <w:t>任何</w:t>
      </w:r>
      <w:r>
        <w:rPr>
          <w:rFonts w:hint="eastAsia" w:cs="Arial" w:asciiTheme="minorEastAsia" w:hAnsiTheme="minorEastAsia" w:eastAsiaTheme="minorEastAsia"/>
          <w:sz w:val="24"/>
        </w:rPr>
        <w:t>责任。</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7.除依据法律法规和《基金合同》的规定外，基金托管人不得委托第三人托管基金财产。</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（二）基金募集期间及募集资金的验资</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1.基金募集期间募集的资金应存于基金管理人在基金托管人处开立的基金募集专户中。该账户由基金管理人开立并管理。</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2.基金募集期满或基金停止募集时，募集的基金份额总额、基金募集金额、基金份额持有人人数符合《基金法》、《运作办法》等有关规定后，基金管理人应将属于基金财产的全部资金划入基金托管人开立的基金托管资金账户，同时在规定时间内，聘请符合《证券法》规定的会计师事务所进行验资，出具验资报告。出具的验资报告由参加验资的2名或2名以上中国注册会计师签字方为有效。</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3.若基金募集期限届满，未能达到《基金合同》生效的条件，由基金管理人按规定办理退款等事宜，基金托管人应予以必要的协助和配合。</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（三）基金银行账户（托管资金账户）的开立和管理</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1.基金托管人应以基金的名义在其营业机构开立基金的托管资金账户，并根据基金管理人合法合规的指令办理资金收付。</w:t>
      </w:r>
      <w:r>
        <w:rPr>
          <w:rFonts w:cs="Arial" w:asciiTheme="minorEastAsia" w:hAnsiTheme="minorEastAsia" w:eastAsiaTheme="minorEastAsia"/>
          <w:sz w:val="24"/>
        </w:rPr>
        <w:t>基金管理人应当在开户（或变更或撤销）过程中给予必要的配合，并提供所需账户资料。基金管理人应保证所提供账户资料的真实性、准确性和有效性，并在账户资料发生变更后5个工作日内及时向基金托管人指定的营业机构提供更新后的账户资料。由于未及时提供更新账户资料导致托管资金账户未能正常使用的，由基金管理人承担相应责任。</w:t>
      </w:r>
    </w:p>
    <w:p>
      <w:pPr>
        <w:adjustRightInd w:val="0"/>
        <w:snapToGrid w:val="0"/>
        <w:spacing w:line="480" w:lineRule="exact"/>
        <w:ind w:firstLine="480"/>
        <w:rPr>
          <w:rFonts w:cs="Arial" w:asciiTheme="minorEastAsia" w:hAnsiTheme="minorEastAsia" w:eastAsiaTheme="minorEastAsia"/>
          <w:sz w:val="24"/>
        </w:rPr>
      </w:pPr>
      <w:r>
        <w:rPr>
          <w:rFonts w:cs="Arial" w:asciiTheme="minorEastAsia" w:hAnsiTheme="minorEastAsia" w:eastAsiaTheme="minorEastAsia"/>
          <w:sz w:val="24"/>
        </w:rPr>
        <w:t>基金管理人应按照人行反洗钱相关监管规定依法履行受益所有人识别义务，在开立托管账户时按照开户银行要求，就相关信息的提供、核实等提供必要的协助。并确保所提供的关于自身的信息以及证明材料的真实性、准确性。托管资金账户可出款日期以开户行执行中国人民银行《人民币银行结算账户管理办法》的具体要求为准。托管资金账户不得透支，不得通兑，不得提取现金，不得购买支付凭证，不得开通网上银行转账功能。账户预留印鉴为产品章1枚及托管人指定印章1枚，均由托管人预留，相关印章由托管人保管。</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2.基金托管资金账户的开立和使用，限于满足开展本基金业务的需要。基金托管人和基金管理人不得假借本基金的名义开立任何其他银行账户；亦不得使用基金的任何账户进行本基金业务以外的活动。</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3.基金托管资金账户的开立和管理应符合银行业监督管理机构的有关规定。</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4.在符合法律法规规定的条件下，基金托管人可以通过基金托管人专用账户办理基金资产的支付。</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5.基金管理人应于基金终止运作后及时完成收益兑付、费用结清及其他应收应付款项资金划转，在确保后续不再发生款项进出后的10个工作日内向基金托管人提交销户资料，办理托管资金账户销户手续。</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（四）基金证券账户和结算备付金账户的开立和管理</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1.基金托管人在中国证券登记结算有限责任公司为基金开立基金托管人与基金联名的证券账户，基金管理人应给予必要的配合并提供所需资料。</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3.基金证券账户的开立和证券账户卡的保管由基金托管人负责，账户资产的管理和运用由基金管理人负责。</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证券账户开户费</w:t>
      </w:r>
      <w:r>
        <w:rPr>
          <w:rFonts w:asciiTheme="minorEastAsia" w:hAnsiTheme="minorEastAsia" w:eastAsiaTheme="minorEastAsia"/>
          <w:sz w:val="24"/>
        </w:rPr>
        <w:t>由</w:t>
      </w:r>
      <w:r>
        <w:rPr>
          <w:rFonts w:hint="eastAsia" w:asciiTheme="minorEastAsia" w:hAnsiTheme="minorEastAsia" w:eastAsiaTheme="minorEastAsia"/>
          <w:sz w:val="24"/>
        </w:rPr>
        <w:t>基金管理人先行垫付</w:t>
      </w:r>
      <w:r>
        <w:rPr>
          <w:rFonts w:asciiTheme="minorEastAsia" w:hAnsiTheme="minorEastAsia" w:eastAsiaTheme="minorEastAsia"/>
          <w:sz w:val="24"/>
        </w:rPr>
        <w:t>,</w:t>
      </w:r>
      <w:r>
        <w:rPr>
          <w:rFonts w:hint="eastAsia" w:asciiTheme="minorEastAsia" w:hAnsiTheme="minorEastAsia" w:eastAsiaTheme="minorEastAsia"/>
          <w:sz w:val="24"/>
        </w:rPr>
        <w:t>待本基金基金合同生效后</w:t>
      </w:r>
      <w:r>
        <w:rPr>
          <w:rFonts w:asciiTheme="minorEastAsia" w:hAnsiTheme="minorEastAsia" w:eastAsiaTheme="minorEastAsia"/>
          <w:sz w:val="24"/>
        </w:rPr>
        <w:t>,</w:t>
      </w:r>
      <w:r>
        <w:rPr>
          <w:rFonts w:hint="eastAsia" w:asciiTheme="minorEastAsia" w:hAnsiTheme="minorEastAsia" w:eastAsiaTheme="minorEastAsia"/>
          <w:sz w:val="24"/>
        </w:rPr>
        <w:t>基金</w:t>
      </w:r>
      <w:r>
        <w:rPr>
          <w:rFonts w:asciiTheme="minorEastAsia" w:hAnsiTheme="minorEastAsia" w:eastAsiaTheme="minorEastAsia"/>
          <w:sz w:val="24"/>
        </w:rPr>
        <w:t>管理人可向</w:t>
      </w:r>
      <w:r>
        <w:rPr>
          <w:rFonts w:hint="eastAsia" w:asciiTheme="minorEastAsia" w:hAnsiTheme="minorEastAsia" w:eastAsiaTheme="minorEastAsia"/>
          <w:sz w:val="24"/>
        </w:rPr>
        <w:t>基金</w:t>
      </w:r>
      <w:r>
        <w:rPr>
          <w:rFonts w:asciiTheme="minorEastAsia" w:hAnsiTheme="minorEastAsia" w:eastAsiaTheme="minorEastAsia"/>
          <w:sz w:val="24"/>
        </w:rPr>
        <w:t>托管人发送划款指令,将代垫开户费从本</w:t>
      </w:r>
      <w:r>
        <w:rPr>
          <w:rFonts w:hint="eastAsia" w:asciiTheme="minorEastAsia" w:hAnsiTheme="minorEastAsia" w:eastAsiaTheme="minorEastAsia"/>
          <w:sz w:val="24"/>
        </w:rPr>
        <w:t>基金托管资金</w:t>
      </w:r>
      <w:r>
        <w:rPr>
          <w:rFonts w:asciiTheme="minorEastAsia" w:hAnsiTheme="minorEastAsia" w:eastAsiaTheme="minorEastAsia"/>
          <w:sz w:val="24"/>
        </w:rPr>
        <w:t>账户中</w:t>
      </w:r>
      <w:r>
        <w:rPr>
          <w:rFonts w:hint="eastAsia" w:asciiTheme="minorEastAsia" w:hAnsiTheme="minorEastAsia" w:eastAsiaTheme="minorEastAsia"/>
          <w:sz w:val="24"/>
        </w:rPr>
        <w:t>扣还基金管理人。</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5.账户注销时，在遵守中国证券登记结算有限责任公司的相关规定下，由基金管理人和基金托管人协商确认主要办理人。账户注销期间，主要办理人如需另一方提供配合的，另一方应予以配合。</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6.若中国证监会或其他监管机构在本托管协议订立日之后允许基金从事其他投资品种的投资业务，涉及相关账户的开立、使用的，若无相关规定，则基金托管人比照上述关于账户开立、使用的规定执行。</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（五）银行间账户的开设和管理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合同》生效后，基金管理人负责以基金的名义申请并取得进入全国银行间同业拆借市场的交易资格，并代表基金进行交易；基金托管人根据中国人民银行、银行间债券市场登记结算机构的有关规定，以本基金的名义在银行间债券市场登记结算机构开立债券托管账户和资金结算专户，并代表基金进行银行间市场债券的结算，基金管理人应给予必要的配合并提供所需资料。基金管理人代表基金签订全国银行间债券市场债券回购主协议。</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（六）开放式基金账户的开设和管理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场外开放式基金账户由基金管理人根据相应基金的基金管理人要求填写相关资料后开立。基金管理人应指定托管资金账户作为开放式基金交易及回款的唯一结算账户。基金管理人应及时将开放式基金账户的信息发送基金托管人。</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人选择通过机构投资者场外投资业务平台（简称"FISP"）参与开放式基金投资的，应由基金管理人在FISP系统登记产品信息（包含基金托管人信息）。产品登记成功后，由基金管理人在线向基金销售机构提交开户申请，账户开立信息通过FISP反馈基金管理人和基金托管人。</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（七）其他账户的开立和管理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在本托管协议订立日之后，本基金被允许从事符合法律法规规定和《基金合同》约定的其他投资品种的投资业务时，如果涉及相关账户的开设和使用，由基金管理人协助基金托管人根据有关法律法规的规定、《基金合同》及本协议的约定，开立有关账户。该账户按有关规则使用并管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2.法律法规等有关规定对相关账户的开立和管理另有规定的，从其规定办理。</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（八）基金财产投资的有关有价凭证等的保管</w:t>
      </w:r>
    </w:p>
    <w:p>
      <w:pPr>
        <w:adjustRightInd w:val="0"/>
        <w:snapToGrid w:val="0"/>
        <w:spacing w:line="480" w:lineRule="exact"/>
        <w:ind w:firstLine="480" w:firstLineChars="200"/>
        <w:rPr>
          <w:rFonts w:cs="Arial" w:asciiTheme="minorEastAsia" w:hAnsiTheme="minorEastAsia" w:eastAsiaTheme="minorEastAsia"/>
        </w:rPr>
      </w:pPr>
      <w:r>
        <w:rPr>
          <w:rFonts w:hint="eastAsia" w:cs="Arial" w:asciiTheme="minorEastAsia" w:hAnsiTheme="minorEastAsia" w:eastAsiaTheme="minorEastAsia"/>
          <w:sz w:val="24"/>
        </w:rPr>
        <w:t>基金财产投资的有关实物证券、银行</w:t>
      </w:r>
      <w:r>
        <w:rPr>
          <w:rFonts w:hint="eastAsia" w:asciiTheme="minorEastAsia" w:hAnsiTheme="minorEastAsia" w:eastAsiaTheme="minorEastAsia"/>
          <w:sz w:val="24"/>
        </w:rPr>
        <w:t>存款开户证实书</w:t>
      </w:r>
      <w:r>
        <w:rPr>
          <w:rFonts w:hint="eastAsia" w:cs="Arial" w:asciiTheme="minorEastAsia" w:hAnsiTheme="minorEastAsia" w:eastAsiaTheme="minorEastAsia"/>
          <w:sz w:val="24"/>
        </w:rPr>
        <w:t>等有价凭证由基金托管人存放于基金托管人的保管库，也可存入法律法规有关规定允许的各类代保管库，保管凭证由基金托管人持有。实物证券、银行定期存款证实书等有价凭证的购买和转让，按基金管理人和基金托管人双方约定办理。基金托管人对由基金托管人以外机构实际有效控制或保管的资产不承担</w:t>
      </w:r>
      <w:r>
        <w:rPr>
          <w:rFonts w:hint="eastAsia" w:asciiTheme="minorEastAsia" w:hAnsiTheme="minorEastAsia" w:eastAsiaTheme="minorEastAsia"/>
          <w:sz w:val="24"/>
        </w:rPr>
        <w:t>任何</w:t>
      </w:r>
      <w:r>
        <w:rPr>
          <w:rFonts w:hint="eastAsia" w:cs="Arial" w:asciiTheme="minorEastAsia" w:hAnsiTheme="minorEastAsia" w:eastAsiaTheme="minorEastAsia"/>
          <w:sz w:val="24"/>
        </w:rPr>
        <w:t>责任。</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（九）与基金财产有关的重大合同的保管</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基金管理人应在重大合同签署后及时以加密方式将重大合同传真给基金托管人，并在三十个工作日内将正本送达基金托管人处。重大合同的保管期限不少于法律法规规定的最低年限。</w:t>
      </w:r>
    </w:p>
    <w:p>
      <w:pPr>
        <w:adjustRightInd w:val="0"/>
        <w:snapToGrid w:val="0"/>
        <w:spacing w:line="480" w:lineRule="exact"/>
        <w:ind w:firstLine="480" w:firstLineChars="200"/>
        <w:rPr>
          <w:rFonts w:asciiTheme="minorEastAsia" w:hAnsiTheme="minorEastAsia" w:eastAsiaTheme="minorEastAsia"/>
          <w:sz w:val="30"/>
          <w:szCs w:val="30"/>
        </w:rPr>
      </w:pPr>
      <w:r>
        <w:rPr>
          <w:rFonts w:hint="eastAsia" w:cs="Arial" w:asciiTheme="minorEastAsia" w:hAnsiTheme="minorEastAsia" w:eastAsiaTheme="minorEastAsia"/>
          <w:sz w:val="24"/>
        </w:rPr>
        <w:t>对于无法取得二份以上的正本的，基金管理人应向基金托管人提供盖章合同传真件或原件扫描件，未经双方协商或未在合同约定范围内，合同原件不得转移。</w:t>
      </w:r>
    </w:p>
    <w:p>
      <w:pPr>
        <w:spacing w:line="480" w:lineRule="exact"/>
        <w:rPr>
          <w:rFonts w:asciiTheme="minorEastAsia" w:hAnsiTheme="minorEastAsia" w:eastAsiaTheme="minorEastAsia"/>
          <w:sz w:val="24"/>
        </w:rPr>
      </w:pPr>
    </w:p>
    <w:p>
      <w:pPr>
        <w:widowControl/>
        <w:spacing w:line="480" w:lineRule="exact"/>
        <w:jc w:val="left"/>
        <w:rPr>
          <w:rFonts w:asciiTheme="minorEastAsia" w:hAnsiTheme="minorEastAsia" w:eastAsiaTheme="minorEastAsia"/>
          <w:b/>
          <w:sz w:val="30"/>
          <w:szCs w:val="20"/>
        </w:rPr>
      </w:pPr>
      <w:bookmarkStart w:id="44" w:name="_Toc86225293"/>
      <w:bookmarkStart w:id="45" w:name="_Toc118774805"/>
      <w:bookmarkStart w:id="46" w:name="_Toc89163370"/>
      <w:bookmarkStart w:id="47" w:name="_Toc84234436"/>
      <w:bookmarkStart w:id="48" w:name="_Toc118212952"/>
      <w:bookmarkStart w:id="49" w:name="_Toc118972650"/>
      <w:bookmarkStart w:id="50" w:name="_Toc86737931"/>
      <w:bookmarkStart w:id="51" w:name="_Toc84133787"/>
      <w:bookmarkStart w:id="52" w:name="_Toc86649724"/>
      <w:bookmarkStart w:id="53" w:name="_Toc110830494"/>
      <w:bookmarkStart w:id="54" w:name="_Toc108512360"/>
      <w:bookmarkStart w:id="55" w:name="_Toc124325890"/>
      <w:bookmarkStart w:id="56" w:name="_Toc86223244"/>
      <w:bookmarkStart w:id="57" w:name="_Toc86726441"/>
      <w:bookmarkStart w:id="58" w:name="_Toc84234389"/>
      <w:bookmarkStart w:id="59" w:name="_Toc86727357"/>
      <w:bookmarkStart w:id="60" w:name="_Toc110765662"/>
      <w:bookmarkStart w:id="61" w:name="_Toc110761798"/>
      <w:bookmarkStart w:id="62" w:name="_Toc86204790"/>
      <w:bookmarkStart w:id="63" w:name="_Toc119402712"/>
      <w:bookmarkStart w:id="64" w:name="_Toc120435785"/>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六、指令的发送、确认及执行</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基金管理人在运用基金财产时向基金托管人发送资金划拨及其他款项付款指令，基金托管人执行基金管理人的指令、办理基金名下的资金往来等有关事项。</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（一）基金管理人对发送指令人员的书面授权</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1.基金管理人应指定专人向基金托管人发送指令。</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2.基金管理人应向基金托管人提供书面授权文件原件，内容包括被授权人名单、预留印鉴及被授权人签字样本，授权文件应注明被授权人相应的权限，并加盖单位公章。</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3.基金托管人在收到授权文件原件并经电话确认后，授权文件即生效。如果授权文件中载明具体生效时间的，该生效时间不得早于基金托管人收到授权文件并经电话确认的时点。如早于，则以基金托管人收到授权文件并经电话确认的时点为授权文件的生效时间。</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4.基金管理人和基金托管人对授权文件负有保密义务，其内容不得向被授权人及相关操作人员以外的任何人泄露。但法律法规规定或有权机关要求的除外。</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（二）指令的内容</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1.指令包括付款指令以及其他资金划拨指令等。</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2.基金管理人发给基金托管人的指令应写明款项事由、支付时间、到账时间、金额、收付款账户等，加盖预留印鉴并由被授权人签字或盖章。</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（三）指令的发送、确认及执行的时间和程序</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1.指令的发送</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基金管理人发送指令应采用电子直连方式、传真方式或双方协商一致的其他方式。</w:t>
      </w:r>
    </w:p>
    <w:p>
      <w:pPr>
        <w:adjustRightInd w:val="0"/>
        <w:snapToGrid w:val="0"/>
        <w:spacing w:line="480" w:lineRule="exact"/>
        <w:ind w:firstLine="482"/>
        <w:rPr>
          <w:rFonts w:cs="Arial" w:asciiTheme="minorEastAsia" w:hAnsiTheme="minorEastAsia" w:eastAsiaTheme="minorEastAsia"/>
          <w:sz w:val="24"/>
        </w:rPr>
      </w:pPr>
      <w:r>
        <w:rPr>
          <w:rFonts w:hint="eastAsia" w:cs="Arial" w:asciiTheme="minorEastAsia" w:hAnsiTheme="minorEastAsia" w:eastAsiaTheme="minorEastAsia"/>
          <w:sz w:val="24"/>
        </w:rPr>
        <w:t>基金管理人应按照法律法规和《基金合同》的规定，在其合法的经营权限和交易权限内发送指令；被授权人应严格按照其授权权限发送指令。对于被授权人依约定程序发出的指令，基金管理人不得否认其效力。但如果基金管理人已经撤销或更改对被授权人的授权，并且基金托管人根据本协议确认后，则对于此后该被授权人无权发送的指令，或超权限发送的指令，基金管理人不承担责任，授权已更改但未经基金托管人确认的情况除外。</w:t>
      </w:r>
    </w:p>
    <w:p>
      <w:pPr>
        <w:adjustRightInd w:val="0"/>
        <w:snapToGrid w:val="0"/>
        <w:spacing w:line="480" w:lineRule="exact"/>
        <w:ind w:firstLine="482"/>
        <w:rPr>
          <w:rFonts w:cs="Arial" w:asciiTheme="minorEastAsia" w:hAnsiTheme="minorEastAsia" w:eastAsiaTheme="minorEastAsia"/>
          <w:sz w:val="24"/>
        </w:rPr>
      </w:pPr>
      <w:r>
        <w:rPr>
          <w:rFonts w:hint="eastAsia" w:cs="Arial" w:asciiTheme="minorEastAsia" w:hAnsiTheme="minorEastAsia" w:eastAsiaTheme="minorEastAsia"/>
          <w:sz w:val="24"/>
        </w:rPr>
        <w:t>指令发出后，基金管理人应及时以电话、邮件方式向基金托管人确认。</w:t>
      </w:r>
    </w:p>
    <w:p>
      <w:pPr>
        <w:adjustRightInd w:val="0"/>
        <w:snapToGrid w:val="0"/>
        <w:spacing w:line="480" w:lineRule="exact"/>
        <w:ind w:firstLine="482"/>
        <w:rPr>
          <w:rFonts w:cs="Arial" w:asciiTheme="minorEastAsia" w:hAnsiTheme="minorEastAsia" w:eastAsiaTheme="minorEastAsia"/>
          <w:sz w:val="24"/>
        </w:rPr>
      </w:pPr>
      <w:r>
        <w:rPr>
          <w:rFonts w:hint="eastAsia" w:cs="Arial" w:asciiTheme="minorEastAsia" w:hAnsiTheme="minorEastAsia" w:eastAsiaTheme="minorEastAsia"/>
          <w:sz w:val="24"/>
        </w:rPr>
        <w:t>基金管理人应在银行间交易成交后，及时将通知单、相关文件及划款指令发至基金托管人并电话确认，由基金托管人完成后台交易匹配及资金交收事宜。如果银行间结算系统已经生成的交易需要取消或终止，基金管理人以书面方式通知基金托管人。</w:t>
      </w:r>
    </w:p>
    <w:p>
      <w:pPr>
        <w:adjustRightInd w:val="0"/>
        <w:snapToGrid w:val="0"/>
        <w:spacing w:line="480" w:lineRule="exact"/>
        <w:ind w:firstLine="482"/>
        <w:rPr>
          <w:rFonts w:cs="Arial" w:asciiTheme="minorEastAsia" w:hAnsiTheme="minorEastAsia" w:eastAsiaTheme="minorEastAsia"/>
          <w:sz w:val="24"/>
        </w:rPr>
      </w:pPr>
      <w:r>
        <w:rPr>
          <w:rFonts w:hint="eastAsia" w:cs="Arial" w:asciiTheme="minorEastAsia" w:hAnsiTheme="minorEastAsia" w:eastAsiaTheme="minorEastAsia"/>
          <w:sz w:val="24"/>
        </w:rPr>
        <w:t>2.指令的确认</w:t>
      </w:r>
    </w:p>
    <w:p>
      <w:pPr>
        <w:pStyle w:val="22"/>
        <w:adjustRightInd w:val="0"/>
        <w:snapToGrid w:val="0"/>
        <w:spacing w:line="480" w:lineRule="exact"/>
        <w:ind w:firstLine="482"/>
        <w:rPr>
          <w:rFonts w:asciiTheme="minorEastAsia" w:hAnsiTheme="minorEastAsia" w:eastAsiaTheme="minorEastAsia"/>
          <w:sz w:val="21"/>
          <w:szCs w:val="21"/>
        </w:rPr>
      </w:pPr>
      <w:r>
        <w:rPr>
          <w:rFonts w:hint="eastAsia" w:cs="Arial" w:asciiTheme="minorEastAsia" w:hAnsiTheme="minorEastAsia" w:eastAsiaTheme="minorEastAsia"/>
        </w:rPr>
        <w:t>基金托管人应指定专人接收基金管理人的指令，预先通知基金管理人其名单，并与基金管理人商定指令发送和接收方式。指令到达基金托管人后，基金托管人应指定专人立即审慎验证指令的要素是否齐全，并将指令所载签字和印鉴与授权文件进行表面真实性及权限范围核对，复核无误后应在规定期限内执行，不得延误，如有疑问必须及时通知基金管理人。</w:t>
      </w:r>
    </w:p>
    <w:p>
      <w:pPr>
        <w:adjustRightInd w:val="0"/>
        <w:snapToGrid w:val="0"/>
        <w:spacing w:line="480" w:lineRule="exact"/>
        <w:ind w:firstLine="482"/>
        <w:rPr>
          <w:rFonts w:cs="Arial" w:asciiTheme="minorEastAsia" w:hAnsiTheme="minorEastAsia" w:eastAsiaTheme="minorEastAsia"/>
          <w:sz w:val="24"/>
        </w:rPr>
      </w:pPr>
      <w:r>
        <w:rPr>
          <w:rFonts w:hint="eastAsia" w:cs="Arial" w:asciiTheme="minorEastAsia" w:hAnsiTheme="minorEastAsia" w:eastAsiaTheme="minorEastAsia"/>
          <w:sz w:val="24"/>
        </w:rPr>
        <w:t>3.指令的时间和执行</w:t>
      </w:r>
    </w:p>
    <w:p>
      <w:pPr>
        <w:pStyle w:val="8"/>
        <w:spacing w:line="480" w:lineRule="exact"/>
        <w:ind w:firstLine="482" w:firstLineChars="0"/>
        <w:rPr>
          <w:rFonts w:cs="Arial" w:asciiTheme="minorEastAsia" w:hAnsiTheme="minorEastAsia" w:eastAsiaTheme="minorEastAsia"/>
          <w:szCs w:val="24"/>
          <w:shd w:val="pct10" w:color="auto" w:fill="FFFFFF"/>
        </w:rPr>
      </w:pPr>
      <w:r>
        <w:rPr>
          <w:rFonts w:hint="eastAsia" w:cs="Arial" w:asciiTheme="minorEastAsia" w:hAnsiTheme="minorEastAsia" w:eastAsiaTheme="minorEastAsia"/>
        </w:rPr>
        <w:t>对于要求当天到账的指令，必须在当天15:30前向基金托管人发送，15:30之后发送的，基金托管人尽力执行，但不能保证划款成功。如果要求当天某一时点到账的指令，则指令需要提前2个工作小时发送，并且相关付款条件已经具备。基金托管人将视付款条件具备时为指令送达时间。对新股申购网下发行业务，基金管理人应于网下申购缴款日(T日)的1</w:t>
      </w:r>
      <w:r>
        <w:rPr>
          <w:rFonts w:cs="Arial" w:asciiTheme="minorEastAsia" w:hAnsiTheme="minorEastAsia" w:eastAsiaTheme="minorEastAsia"/>
        </w:rPr>
        <w:t>0</w:t>
      </w:r>
      <w:r>
        <w:rPr>
          <w:rFonts w:hint="eastAsia" w:cs="Arial" w:asciiTheme="minorEastAsia" w:hAnsiTheme="minorEastAsia" w:eastAsiaTheme="minorEastAsia"/>
        </w:rPr>
        <w:t>:0</w:t>
      </w:r>
      <w:r>
        <w:rPr>
          <w:rFonts w:cs="Arial" w:asciiTheme="minorEastAsia" w:hAnsiTheme="minorEastAsia" w:eastAsiaTheme="minorEastAsia"/>
        </w:rPr>
        <w:t>0</w:t>
      </w:r>
      <w:r>
        <w:rPr>
          <w:rFonts w:hint="eastAsia" w:cs="Arial" w:asciiTheme="minorEastAsia" w:hAnsiTheme="minorEastAsia" w:eastAsiaTheme="minorEastAsia"/>
        </w:rPr>
        <w:t>前将指令发送给基金托管人。</w:t>
      </w:r>
      <w:r>
        <w:rPr>
          <w:rFonts w:hint="eastAsia" w:cs="Arial" w:asciiTheme="minorEastAsia" w:hAnsiTheme="minorEastAsia" w:eastAsiaTheme="minorEastAsia"/>
          <w:szCs w:val="24"/>
        </w:rPr>
        <w:t>基金管理人应确保基金托管人在执行指令时，基金托管资金账户有足够的资金余额，</w:t>
      </w:r>
      <w:r>
        <w:rPr>
          <w:rFonts w:hint="eastAsia" w:cs="Arial" w:asciiTheme="minorEastAsia" w:hAnsiTheme="minorEastAsia" w:eastAsiaTheme="minorEastAsia"/>
        </w:rPr>
        <w:t>在基金资金头寸充足的情况下，基金托管人对基金管理人符合法律法规、《基金合同》、本协议的指令不得拖延或拒绝执行。</w:t>
      </w:r>
    </w:p>
    <w:p>
      <w:pPr>
        <w:pStyle w:val="8"/>
        <w:spacing w:line="480" w:lineRule="exact"/>
        <w:ind w:firstLine="482" w:firstLineChars="0"/>
        <w:rPr>
          <w:rFonts w:cs="Arial" w:asciiTheme="minorEastAsia" w:hAnsiTheme="minorEastAsia" w:eastAsiaTheme="minorEastAsia"/>
        </w:rPr>
      </w:pPr>
      <w:r>
        <w:rPr>
          <w:rFonts w:hint="eastAsia" w:cs="Arial" w:asciiTheme="minorEastAsia" w:hAnsiTheme="minorEastAsia" w:eastAsiaTheme="minorEastAsia"/>
        </w:rPr>
        <w:t>（四）基金管理人发送错误指令的情形和处理程序</w:t>
      </w:r>
    </w:p>
    <w:p>
      <w:pPr>
        <w:adjustRightInd w:val="0"/>
        <w:snapToGrid w:val="0"/>
        <w:spacing w:line="480" w:lineRule="exact"/>
        <w:ind w:firstLine="482"/>
        <w:rPr>
          <w:rFonts w:cs="Arial" w:asciiTheme="minorEastAsia" w:hAnsiTheme="minorEastAsia" w:eastAsiaTheme="minorEastAsia"/>
          <w:sz w:val="24"/>
        </w:rPr>
      </w:pPr>
      <w:r>
        <w:rPr>
          <w:rFonts w:hint="eastAsia" w:cs="Arial" w:asciiTheme="minorEastAsia" w:hAnsiTheme="minorEastAsia" w:eastAsiaTheme="minorEastAsia"/>
          <w:sz w:val="24"/>
        </w:rPr>
        <w:t>基金管理人发送错误指令的情形包括指令违反法律法规、监管规定、《基金合同》或本协议约定，或指令发送人员无权或超越权限发送指令。</w:t>
      </w:r>
    </w:p>
    <w:p>
      <w:pPr>
        <w:adjustRightInd w:val="0"/>
        <w:snapToGrid w:val="0"/>
        <w:spacing w:line="480" w:lineRule="exact"/>
        <w:ind w:firstLine="482"/>
        <w:rPr>
          <w:rFonts w:cs="Arial" w:asciiTheme="minorEastAsia" w:hAnsiTheme="minorEastAsia" w:eastAsiaTheme="minorEastAsia"/>
          <w:sz w:val="24"/>
        </w:rPr>
      </w:pPr>
      <w:r>
        <w:rPr>
          <w:rFonts w:hint="eastAsia" w:cs="Arial" w:asciiTheme="minorEastAsia" w:hAnsiTheme="minorEastAsia" w:eastAsiaTheme="minorEastAsia"/>
          <w:sz w:val="24"/>
        </w:rPr>
        <w:t>基金托管人发现基金管理人的指令错误时，有权拒绝执行，并及时通知基金管理人改正。如需基金托管人撤销尚未执行的指令，基金管理人应出具作废指令或作废说明，并电话通知基金托管人。</w:t>
      </w:r>
    </w:p>
    <w:p>
      <w:pPr>
        <w:adjustRightInd w:val="0"/>
        <w:snapToGrid w:val="0"/>
        <w:spacing w:line="480" w:lineRule="exact"/>
        <w:ind w:firstLine="482"/>
        <w:rPr>
          <w:rFonts w:cs="Arial" w:asciiTheme="minorEastAsia" w:hAnsiTheme="minorEastAsia" w:eastAsiaTheme="minorEastAsia"/>
          <w:sz w:val="24"/>
        </w:rPr>
      </w:pPr>
      <w:r>
        <w:rPr>
          <w:rFonts w:hint="eastAsia" w:cs="Arial" w:asciiTheme="minorEastAsia" w:hAnsiTheme="minorEastAsia" w:eastAsiaTheme="minorEastAsia"/>
          <w:sz w:val="24"/>
        </w:rPr>
        <w:t>（五）基金托管人未按照基金管理人指令执行的处理方法</w:t>
      </w:r>
    </w:p>
    <w:p>
      <w:pPr>
        <w:adjustRightInd w:val="0"/>
        <w:snapToGrid w:val="0"/>
        <w:spacing w:line="480" w:lineRule="exact"/>
        <w:ind w:firstLine="482"/>
        <w:rPr>
          <w:rFonts w:cs="Arial" w:asciiTheme="minorEastAsia" w:hAnsiTheme="minorEastAsia" w:eastAsiaTheme="minorEastAsia"/>
          <w:sz w:val="24"/>
        </w:rPr>
      </w:pPr>
      <w:r>
        <w:rPr>
          <w:rFonts w:hint="eastAsia" w:cs="Arial" w:asciiTheme="minorEastAsia" w:hAnsiTheme="minorEastAsia" w:eastAsiaTheme="minorEastAsia"/>
          <w:sz w:val="24"/>
        </w:rPr>
        <w:t>基金托管人由于自身过错，未按照基金管理人发送的符合法律法规、监管规定、《基金合同》和本协议约定的指令执行并对基金财产或投资人造成的直接损失，由基金托管人</w:t>
      </w:r>
      <w:r>
        <w:rPr>
          <w:rFonts w:hint="eastAsia" w:asciiTheme="minorEastAsia" w:hAnsiTheme="minorEastAsia" w:eastAsiaTheme="minorEastAsia"/>
          <w:sz w:val="24"/>
        </w:rPr>
        <w:t>赔偿由此造成的直接损失。</w:t>
      </w:r>
    </w:p>
    <w:p>
      <w:pPr>
        <w:adjustRightInd w:val="0"/>
        <w:snapToGrid w:val="0"/>
        <w:spacing w:line="480" w:lineRule="exact"/>
        <w:ind w:firstLine="482"/>
        <w:rPr>
          <w:rFonts w:cs="Arial" w:asciiTheme="minorEastAsia" w:hAnsiTheme="minorEastAsia" w:eastAsiaTheme="minorEastAsia"/>
          <w:sz w:val="24"/>
        </w:rPr>
      </w:pPr>
      <w:r>
        <w:rPr>
          <w:rFonts w:hint="eastAsia" w:cs="Arial" w:asciiTheme="minorEastAsia" w:hAnsiTheme="minorEastAsia" w:eastAsiaTheme="minorEastAsia"/>
          <w:sz w:val="24"/>
        </w:rPr>
        <w:t>（六）更换被授权人员的程序</w:t>
      </w:r>
    </w:p>
    <w:p>
      <w:pPr>
        <w:adjustRightInd w:val="0"/>
        <w:snapToGrid w:val="0"/>
        <w:spacing w:line="480" w:lineRule="exact"/>
        <w:ind w:firstLine="482"/>
        <w:rPr>
          <w:rFonts w:cs="Arial" w:asciiTheme="minorEastAsia" w:hAnsiTheme="minorEastAsia" w:eastAsiaTheme="minorEastAsia"/>
          <w:sz w:val="24"/>
        </w:rPr>
      </w:pPr>
      <w:r>
        <w:rPr>
          <w:rFonts w:hint="eastAsia" w:cs="Arial" w:asciiTheme="minorEastAsia" w:hAnsiTheme="minorEastAsia" w:eastAsiaTheme="minorEastAsia"/>
          <w:sz w:val="24"/>
        </w:rPr>
        <w:t>基金管理人更换被授权人、更改或终止对被授权人的授权，应立即将新的加盖公章的授权文件以邮件发送扫描件方式通知基金托管人，并经电话确认后生效，原授权文件同时废止。新的授权文件正本应当在邮件发出后七个工作日内送达基金托管人。新的授权文件生效之后，正本送达之前，基金托管人按照新的授权文件扫描件内容执行有关业务，如果新的授权文件正本与扫描件内容不同，由此产生的责任由基金管理人承担。基金托管人更换接收基金管理人指令的传真号或邮箱地址，应提前通知基金管理人。</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（七）其他事项</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基金托管人在接收指令时，应对指令的要素是否齐全、印鉴与被授权人是否与预留的授权文件内容表面相符进行检查，如发现问题，应及时报告基金管理人，基金托管人对执行基金管理人的有效指令对基金财产造成的损失不承担赔偿责任。</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基金参与认购未上市债券时，基金管理人应代表本基金与对手方签署相关合同或协议，明确约定债券过户具体事宜。否则，基金管理人需对所认购债券的过户事宜承担相应责任。</w:t>
      </w:r>
    </w:p>
    <w:p>
      <w:pPr>
        <w:adjustRightInd w:val="0"/>
        <w:snapToGrid w:val="0"/>
        <w:spacing w:line="480" w:lineRule="exact"/>
        <w:rPr>
          <w:rFonts w:cs="Arial" w:asciiTheme="minorEastAsia" w:hAnsiTheme="minorEastAsia" w:eastAsiaTheme="minorEastAsia"/>
          <w:sz w:val="24"/>
        </w:rPr>
      </w:pPr>
    </w:p>
    <w:p>
      <w:pPr>
        <w:widowControl/>
        <w:spacing w:line="480" w:lineRule="exact"/>
        <w:jc w:val="left"/>
        <w:rPr>
          <w:rFonts w:asciiTheme="minorEastAsia" w:hAnsiTheme="minorEastAsia" w:eastAsiaTheme="minorEastAsia"/>
          <w:b/>
          <w:sz w:val="30"/>
          <w:szCs w:val="20"/>
        </w:rPr>
      </w:pPr>
      <w:bookmarkStart w:id="65" w:name="_Toc124325891"/>
      <w:bookmarkStart w:id="66" w:name="_Toc120435786"/>
      <w:bookmarkStart w:id="67" w:name="_Toc84234390"/>
      <w:bookmarkStart w:id="68" w:name="_Toc110761799"/>
      <w:bookmarkStart w:id="69" w:name="_Toc84133788"/>
      <w:bookmarkStart w:id="70" w:name="_Toc86727358"/>
      <w:bookmarkStart w:id="71" w:name="_Toc86225294"/>
      <w:bookmarkStart w:id="72" w:name="_Toc86726442"/>
      <w:bookmarkStart w:id="73" w:name="_Toc110765663"/>
      <w:bookmarkStart w:id="74" w:name="_Toc86649725"/>
      <w:bookmarkStart w:id="75" w:name="_Toc84234437"/>
      <w:bookmarkStart w:id="76" w:name="_Toc86223245"/>
      <w:bookmarkStart w:id="77" w:name="_Toc118774806"/>
      <w:bookmarkStart w:id="78" w:name="_Toc108512361"/>
      <w:bookmarkStart w:id="79" w:name="_Toc118212953"/>
      <w:bookmarkStart w:id="80" w:name="_Toc119402713"/>
      <w:bookmarkStart w:id="81" w:name="_Toc118972651"/>
      <w:bookmarkStart w:id="82" w:name="_Toc86204791"/>
      <w:bookmarkStart w:id="83" w:name="_Toc110830495"/>
      <w:bookmarkStart w:id="84" w:name="_Toc86737932"/>
      <w:bookmarkStart w:id="85" w:name="_Toc89163371"/>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七、交易及清算交收安排</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本基金参与交易所场内证券投资，采取托管人结算模式，基金管理人与基金托管人应根据有关法律法规及相关业务规则，签订托管银行证券资金结算协议用以具体明确基金管理人与基金托管人在证券交易资金结算业务中的程序与责任。协议签署前，基金管理人应按基金托管人要求配合提供相应准入材料。</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基金管理人、基金托管人应遵守本协议下述（一）和（二）之约定。</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（一）选择证券买卖的证券经营机构</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人应设计选择证券买卖的证券经营机构的标准和程序。基金管理人负责选择证券经营机构，租用其交易单元作为基金的专用交易单元。基金管理人和被选中的证券经营机构签订交易单元租用协议，基金管理人应提前通知基金托管人，并依据基金托管人要求提供相关资料，以便基金托管人申请办理接收结算数据手续。</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人应根据有关规定，在基金的中期报告和年度报告中将所选证券经营机构的有关情况及交易信息予以披露，并将该等情况及基金交易单元号、佣金费率等基本信息以及变更情况及时以书面形式通知基金托管人。</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（二）基金投资证券后的清算交收安排</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1.</w:t>
      </w:r>
      <w:r>
        <w:rPr>
          <w:rFonts w:hint="eastAsia" w:cs="Arial" w:asciiTheme="minorEastAsia" w:hAnsiTheme="minorEastAsia" w:eastAsiaTheme="minorEastAsia"/>
          <w:sz w:val="24"/>
        </w:rPr>
        <w:t>结算备付金与保证金</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中国证券登记结算有限责任公司分别于每月前6个交易日及每月前2个交易日内，对结算参与人最低备付金限额与结算保证金限额进行重新核算、调整。基金托管人应于每月前6个交易日内及结算保证金调整当日通过《资金账户报告》通知基金管理人本基金最低备付金调整金额以及调整后的结算保证金金额。基金管理人应预留最低备付金和结算保证金，并根据中国证券登记结算有限责任公司确定的实际最低备付金、结算保证金数据为依据安排资金运作，调整所需的现金头寸。如因调整最低备付金、结算保证金后造成透支，基金管理人应视基金托管人最低结算备付金比例计收方式分别于下列时点补足透支金额：</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（1）固定备付金比例计收方式下，基金管理人应在调整最低备付金、结算保证金当日上午11：00之前补足金额。</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（2）差异化备付金比例计收方式下，基金管理人应最晚于资金交收日上午8：30前补足金额。</w:t>
      </w:r>
    </w:p>
    <w:p>
      <w:pPr>
        <w:adjustRightInd w:val="0"/>
        <w:snapToGrid w:val="0"/>
        <w:spacing w:line="480" w:lineRule="exact"/>
        <w:ind w:firstLine="480"/>
        <w:rPr>
          <w:rFonts w:cs="Arial" w:asciiTheme="minorEastAsia" w:hAnsiTheme="minorEastAsia" w:eastAsiaTheme="minorEastAsia"/>
          <w:sz w:val="24"/>
        </w:rPr>
      </w:pPr>
      <w:r>
        <w:rPr>
          <w:rFonts w:cs="Arial" w:asciiTheme="minorEastAsia" w:hAnsiTheme="minorEastAsia" w:eastAsiaTheme="minorEastAsia"/>
          <w:sz w:val="24"/>
        </w:rPr>
        <w:t>2</w:t>
      </w:r>
      <w:r>
        <w:rPr>
          <w:rFonts w:hint="eastAsia" w:cs="Arial" w:asciiTheme="minorEastAsia" w:hAnsiTheme="minorEastAsia" w:eastAsiaTheme="minorEastAsia"/>
          <w:sz w:val="24"/>
        </w:rPr>
        <w:t>.清算交收</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基金托管人负责基金买卖证券的清算交收。场内资金结算由基金托管人根据中国证券登记结算有限责任公司结算数据办理；场外资金汇划由基金托管人根据基金管理人的交易划款指令具体办理。</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如果因为基金托管人自身过错在清算上造成基金财产的直接损失，应由基金托管人负责赔偿，但因中国人民银行、中国证券登记结算有限责任公司和银行间市场登记结算机构资金结算系统以及其他机构的结算系统发生故障等非基金托管人可以控制的因素造成清算资金无法按时到账的情形，基金托管人免责；如果因为基金管理人未事先通知基金托管人增加交易单元等事宜，致使基金托管人接收数据不完整，造成清算差错的责任由基金管理人承担；如果因为基金管理人未事先通知需要单独结算的交易，造成基金资产损失的由基金管理人承担；如果由于基金管理人违反市场操作规则的规定进行超买、超卖及质押券欠库等原因造成基金投资清算困难和风险的，基金托管人在预清算结束后应立即通知基金管理人预透支和预欠库事项，基金管理人应保持联系方式畅通，后续补缴等事宜由基金管理人负责解决，由此给基金托管人、本基金造成的直接损失由基金管理人承担。</w:t>
      </w:r>
    </w:p>
    <w:p>
      <w:pPr>
        <w:adjustRightInd w:val="0"/>
        <w:snapToGrid w:val="0"/>
        <w:spacing w:line="480" w:lineRule="exact"/>
        <w:ind w:firstLine="48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基金管理人应采取合理、必要措施，确保T日日终有足够的资金头寸完成T+1日</w:t>
      </w:r>
      <w:r>
        <w:rPr>
          <w:rFonts w:hint="eastAsia" w:asciiTheme="minorEastAsia" w:hAnsiTheme="minorEastAsia" w:eastAsiaTheme="minorEastAsia"/>
          <w:sz w:val="24"/>
        </w:rPr>
        <w:t>中国证券登记结算有限责任公司的资金</w:t>
      </w:r>
      <w:r>
        <w:rPr>
          <w:rFonts w:hint="eastAsia" w:cs="宋体" w:asciiTheme="minorEastAsia" w:hAnsiTheme="minorEastAsia" w:eastAsiaTheme="minorEastAsia"/>
          <w:kern w:val="0"/>
          <w:sz w:val="24"/>
        </w:rPr>
        <w:t>交收；如因基金管理人原因导致资金头寸不足，基金管理人应视基金托管人最低结算备付金比例计收方式分别于下列时点补足透支金额：</w:t>
      </w:r>
    </w:p>
    <w:p>
      <w:pPr>
        <w:adjustRightInd w:val="0"/>
        <w:snapToGrid w:val="0"/>
        <w:spacing w:line="480" w:lineRule="exact"/>
        <w:ind w:firstLine="48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（1）固定备付金比例计收方式下，基金管理人应最晚于资金交收日上午11：00前补足金额。</w:t>
      </w:r>
    </w:p>
    <w:p>
      <w:pPr>
        <w:adjustRightInd w:val="0"/>
        <w:snapToGrid w:val="0"/>
        <w:spacing w:line="480" w:lineRule="exact"/>
        <w:ind w:firstLine="48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2）差异化备付金比例计收方式下，基金管理人应最晚于资金交收日上午8：30前补足金额。如果基金管理人未遵循上述规定备足资金头寸，影响基金资产的清算交收及基金托管人与中国证券登记结算有限责任公司之间的一级清算，由此给基金托管人、基金资产</w:t>
      </w:r>
      <w:r>
        <w:rPr>
          <w:rFonts w:hint="eastAsia" w:cs="Arial" w:asciiTheme="minorEastAsia" w:hAnsiTheme="minorEastAsia" w:eastAsiaTheme="minorEastAsia"/>
          <w:sz w:val="24"/>
        </w:rPr>
        <w:t>和基金托管人托管的其他资产</w:t>
      </w:r>
      <w:r>
        <w:rPr>
          <w:rFonts w:hint="eastAsia" w:cs="宋体" w:asciiTheme="minorEastAsia" w:hAnsiTheme="minorEastAsia" w:eastAsiaTheme="minorEastAsia"/>
          <w:kern w:val="0"/>
          <w:sz w:val="24"/>
        </w:rPr>
        <w:t>造成的直接经济损失由基金管理人负责。</w:t>
      </w:r>
    </w:p>
    <w:p>
      <w:pPr>
        <w:adjustRightInd w:val="0"/>
        <w:snapToGrid w:val="0"/>
        <w:spacing w:line="480" w:lineRule="exact"/>
        <w:ind w:firstLine="48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根据中国证券登记结算有限责任公司结算规定，基金管理人在进行融资回购业务时，用于融资回购的债券将作为偿还融资回购到期购回款的质押券。如因基金管理人原因造成债券回购交收违约或因折算率变化造成质押欠库，导致中国证券登记结算有限责任公司欠库扣款或对质押券进行处置造成的投资风险和损失由基金管理人承担。</w:t>
      </w:r>
    </w:p>
    <w:p>
      <w:pPr>
        <w:adjustRightInd w:val="0"/>
        <w:snapToGrid w:val="0"/>
        <w:spacing w:line="480" w:lineRule="exact"/>
        <w:ind w:firstLine="48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对于中国证券登记结算有限责任公司实行T+0非担保交收的业务，基金管理人应在交易日14：00前将划款指令发送至基金托管人。因基金管理人指令传输不及时，致使资金未能及时划入中国证券登记结算有限责任公司所造成的损失由基金管理人承担，包括但不限于赔偿在该市场引起其他托管客户交易失败、赔偿因占用结算参与人最低备付金带来的利息损失。若沪深市场T+0非担保交收规则调整，则此条款内容相应调整。</w:t>
      </w:r>
    </w:p>
    <w:p>
      <w:pPr>
        <w:adjustRightInd w:val="0"/>
        <w:snapToGrid w:val="0"/>
        <w:spacing w:line="480" w:lineRule="exact"/>
        <w:ind w:firstLine="480"/>
        <w:rPr>
          <w:rFonts w:cs="宋体" w:asciiTheme="minorEastAsia" w:hAnsiTheme="minorEastAsia" w:eastAsiaTheme="minorEastAsia"/>
          <w:kern w:val="0"/>
          <w:sz w:val="24"/>
        </w:rPr>
      </w:pPr>
      <w:r>
        <w:rPr>
          <w:rFonts w:cs="宋体" w:asciiTheme="minorEastAsia" w:hAnsiTheme="minorEastAsia" w:eastAsiaTheme="minorEastAsia"/>
          <w:kern w:val="0"/>
          <w:sz w:val="24"/>
        </w:rPr>
        <w:t>3.交易记录、资金和证券账目核对的时间和方式</w:t>
      </w:r>
    </w:p>
    <w:p>
      <w:pPr>
        <w:adjustRightInd w:val="0"/>
        <w:snapToGrid w:val="0"/>
        <w:spacing w:line="480" w:lineRule="exact"/>
        <w:ind w:firstLine="48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w:t>
      </w:r>
      <w:r>
        <w:rPr>
          <w:rFonts w:cs="宋体" w:asciiTheme="minorEastAsia" w:hAnsiTheme="minorEastAsia" w:eastAsiaTheme="minorEastAsia"/>
          <w:kern w:val="0"/>
          <w:sz w:val="24"/>
        </w:rPr>
        <w:t>1）交易记录的核对</w:t>
      </w:r>
    </w:p>
    <w:p>
      <w:pPr>
        <w:adjustRightInd w:val="0"/>
        <w:snapToGrid w:val="0"/>
        <w:spacing w:line="480" w:lineRule="exact"/>
        <w:ind w:firstLine="48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基金管理人按日进行交易记录的核对。每日对外披露净值之前，必须保证所有实际交易记录与基金会计账簿上的交易记录完全一致。如果实际交易记录与会计账簿记录不一致，造成基金会计核算不完整或不真实，由此导致的损失由基金管理人承担。</w:t>
      </w:r>
    </w:p>
    <w:p>
      <w:pPr>
        <w:adjustRightInd w:val="0"/>
        <w:snapToGrid w:val="0"/>
        <w:spacing w:line="480" w:lineRule="exact"/>
        <w:ind w:firstLine="48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w:t>
      </w:r>
      <w:r>
        <w:rPr>
          <w:rFonts w:cs="宋体" w:asciiTheme="minorEastAsia" w:hAnsiTheme="minorEastAsia" w:eastAsiaTheme="minorEastAsia"/>
          <w:kern w:val="0"/>
          <w:sz w:val="24"/>
        </w:rPr>
        <w:t>2）资金账目的核对</w:t>
      </w:r>
    </w:p>
    <w:p>
      <w:pPr>
        <w:adjustRightInd w:val="0"/>
        <w:snapToGrid w:val="0"/>
        <w:spacing w:line="480" w:lineRule="exact"/>
        <w:ind w:firstLine="480"/>
        <w:rPr>
          <w:rFonts w:cs="宋体" w:asciiTheme="minorEastAsia" w:hAnsiTheme="minorEastAsia" w:eastAsiaTheme="minorEastAsia"/>
          <w:kern w:val="0"/>
          <w:sz w:val="24"/>
        </w:rPr>
      </w:pPr>
      <w:r>
        <w:rPr>
          <w:rFonts w:hint="eastAsia" w:cs="宋体" w:asciiTheme="minorEastAsia" w:hAnsiTheme="minorEastAsia" w:eastAsiaTheme="minorEastAsia"/>
          <w:kern w:val="0"/>
          <w:sz w:val="24"/>
        </w:rPr>
        <w:t>资金账目按日核实。</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（3）证券账目的核对</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基金管理人和基金托管人每个交易日结束后核对基金证券账目，确保双方账目相符。</w:t>
      </w:r>
    </w:p>
    <w:p>
      <w:pPr>
        <w:spacing w:line="480" w:lineRule="exact"/>
        <w:ind w:firstLine="420"/>
        <w:rPr>
          <w:rFonts w:cs="Arial" w:asciiTheme="minorEastAsia" w:hAnsiTheme="minorEastAsia" w:eastAsiaTheme="minorEastAsia"/>
          <w:sz w:val="24"/>
        </w:rPr>
      </w:pPr>
      <w:r>
        <w:rPr>
          <w:rFonts w:hint="eastAsia" w:cs="Arial" w:asciiTheme="minorEastAsia" w:hAnsiTheme="minorEastAsia" w:eastAsiaTheme="minorEastAsia"/>
          <w:sz w:val="24"/>
        </w:rPr>
        <w:t>（三）基金申购和赎回业务处理的基本规定</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1.基金份额申购、赎回的确认、清算由基金管理人或其委托的登记机构负责。</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2.基金管理人应将每个开放日的申购、赎回、转换开放式基金的数据传送给基金托管人。基金管理人应对传递的申购、赎回、转换开放式基金的数据真实性负责。基金托管人应及时查收申购及转入资金的到账情况并根据基金管理人指令及时划付赎回及转出款项。</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3.基金管理人应保证本基金（或本基金管理人委托）的登记机构每个工作日15:00前向基金托管人发送上述有关数据，并保证相关数据的准确、完整。</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4.登记机构应通过与基金托管人建立的加密系统发送有关数据，如因各种原因，该系统无法正常发送，双方可协商解决处理方式。基金管理人向基金托管人发送的数据，双方各自按有关规定保存。</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5.如基金管理人委托其他机构办理本基金的登记业务，应保证上述相关事宜按时进行。否则，由基金管理人承担相应的责任。</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6.关于清算专用账户的设立和管理</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为满足申购、赎回及分红资金汇划的需要，由基金管理人开立资金清算的专用账户，该账户由登记机构管理。</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7.对于基金申购过程中产生的应收款，应由基金管理人负责与有关当事人确定到账日期并通知基金托管人，到账日应收款没有到达基金托管资金账户的，基金托管人应及时通知基金管理人采取措施进行催收，由此造成基金损失的，基金管理人应负责向有关当事人追偿基金的损失。</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8.赎回和分红资金划拨规定</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拨付赎回款或进行基金分红时，如基金托管资金账户有足够的资金，基金托管人应按时拨付；因基金托管资金账户没有足够的资金，导致基金托管人不能按时拨付，如系基金管理人的原因造成，责任由基金管理人承担，基金托管人不承担垫款义务。</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9.资金指令</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除申购款项到达基金托管资金账户需双方按约定方式对账外，回购到期付款和与投资有关的付款、赎回和分红资金划拨时，基金管理人需向基金托管人下达指令。</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资金指令的格式、内容、发送、接收和确认方式等与投资指令相同。</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（四）申赎净额结算</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基金托管资金账户与“基金清算账户”间的资金结算遵循“全额清算、净额交收”的原则，每日(T日：资金交收日，下同)按照托管资金账户应收资金与应付资金的差额来确定托管资金账户净应收额或净应付额，以此确定资金交收额。当存在托管资金账户净应收额时，基金管理人负责将托管资金账户净应收额在T日15:00之前从基金清算账户划到基金托管资金账户；当存在托管资金账户净应付额时，基金管理人应在T日10:00之前将划款指令发送给基金托管人，基金托管人按基金管理人的划款指令将托管资金账户净应付额在T日</w:t>
      </w:r>
      <w:r>
        <w:rPr>
          <w:rFonts w:cs="Arial" w:asciiTheme="minorEastAsia" w:hAnsiTheme="minorEastAsia" w:eastAsiaTheme="minorEastAsia"/>
          <w:sz w:val="24"/>
        </w:rPr>
        <w:t>15:00</w:t>
      </w:r>
      <w:r>
        <w:rPr>
          <w:rFonts w:hint="eastAsia" w:cs="Arial" w:asciiTheme="minorEastAsia" w:hAnsiTheme="minorEastAsia" w:eastAsiaTheme="minorEastAsia"/>
          <w:sz w:val="24"/>
        </w:rPr>
        <w:t>之前划往基金清算账户。</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在发生巨额赎回或《基金合同》载明的其他暂停赎回或延缓支付赎回款项的情形时，款项的支付办法参照《基金合同》有关条款处理。</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（五）基金转换</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1.在本基金开展转换业务之前，基金管理人应函告基金托管人并就相关事宜进行协商。</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2.基金托管人将根据基金管理人传送的基金转换数据进行账务处理，具体资金清算和数据传递的时间、程序及托管协议当事人承担的权责按双方届时的约定执行。</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3.本基金开展基金转换业务应按相关法律法规规定及《基金合同》的约定进行公告。</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cs="Arial" w:asciiTheme="minorEastAsia" w:hAnsiTheme="minorEastAsia" w:eastAsiaTheme="minorEastAsia"/>
          <w:sz w:val="24"/>
        </w:rPr>
        <w:t>六）</w:t>
      </w:r>
      <w:r>
        <w:rPr>
          <w:rFonts w:hint="eastAsia" w:cs="Arial" w:asciiTheme="minorEastAsia" w:hAnsiTheme="minorEastAsia" w:eastAsiaTheme="minorEastAsia"/>
          <w:sz w:val="24"/>
        </w:rPr>
        <w:t>基金现金分红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1.基金管理人确定分红方案通知基金托管人，双方核定后</w:t>
      </w:r>
      <w:r>
        <w:rPr>
          <w:rFonts w:hint="eastAsia" w:asciiTheme="minorEastAsia" w:hAnsiTheme="minorEastAsia" w:eastAsiaTheme="minorEastAsia"/>
          <w:sz w:val="24"/>
          <w:szCs w:val="18"/>
        </w:rPr>
        <w:t>依照《信息披露办法》的有关规定在中国证监会规定媒介上公告</w:t>
      </w:r>
      <w:r>
        <w:rPr>
          <w:rFonts w:hint="eastAsia" w:cs="Arial" w:asciiTheme="minorEastAsia" w:hAnsiTheme="minorEastAsia" w:eastAsiaTheme="minorEastAsia"/>
          <w:sz w:val="24"/>
        </w:rPr>
        <w:t>。</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2.基金托管人和基金管理人对基金分红进行账务处理并核对后，基金管理人向基金托管人发送现金红利的划款指令，基金托管人应及时将资金划入清算专用账户。</w:t>
      </w:r>
    </w:p>
    <w:p>
      <w:pPr>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3.基金管理人在下达指令时，应给基金托管人留出必需的划款时间。</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（七）投资银行存款的特别约定</w:t>
      </w:r>
    </w:p>
    <w:p>
      <w:pPr>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1.本基金投资银行存款前，基金管理人应与存款银行签订具体存款协议，包括但不限于以下内容：</w:t>
      </w:r>
    </w:p>
    <w:p>
      <w:pPr>
        <w:adjustRightInd w:val="0"/>
        <w:snapToGrid w:val="0"/>
        <w:spacing w:line="480" w:lineRule="exact"/>
        <w:ind w:firstLine="480"/>
        <w:rPr>
          <w:rFonts w:asciiTheme="minorEastAsia" w:hAnsiTheme="minorEastAsia" w:eastAsiaTheme="minorEastAsia"/>
          <w:bCs/>
          <w:sz w:val="24"/>
        </w:rPr>
      </w:pPr>
      <w:r>
        <w:rPr>
          <w:rFonts w:hint="eastAsia" w:cs="Arial" w:asciiTheme="minorEastAsia" w:hAnsiTheme="minorEastAsia" w:eastAsiaTheme="minorEastAsia"/>
          <w:sz w:val="24"/>
        </w:rPr>
        <w:t>（1）</w:t>
      </w:r>
      <w:r>
        <w:rPr>
          <w:rFonts w:hint="eastAsia" w:asciiTheme="minorEastAsia" w:hAnsiTheme="minorEastAsia" w:eastAsiaTheme="minorEastAsia"/>
          <w:bCs/>
          <w:sz w:val="24"/>
        </w:rPr>
        <w:t>存款账户必须以本基金名义开立,并将基金托管人为本</w:t>
      </w:r>
      <w:r>
        <w:rPr>
          <w:rFonts w:hint="eastAsia" w:cs="Arial" w:asciiTheme="minorEastAsia" w:hAnsiTheme="minorEastAsia" w:eastAsiaTheme="minorEastAsia"/>
          <w:sz w:val="24"/>
        </w:rPr>
        <w:t>基金开立的基金托管资金账户</w:t>
      </w:r>
      <w:r>
        <w:rPr>
          <w:rFonts w:hint="eastAsia" w:asciiTheme="minorEastAsia" w:hAnsiTheme="minorEastAsia" w:eastAsiaTheme="minorEastAsia"/>
          <w:bCs/>
          <w:sz w:val="24"/>
        </w:rPr>
        <w:t>指定为唯一回款账户，</w:t>
      </w:r>
      <w:r>
        <w:rPr>
          <w:rFonts w:hint="eastAsia" w:asciiTheme="minorEastAsia" w:hAnsiTheme="minorEastAsia" w:eastAsiaTheme="minorEastAsia"/>
          <w:sz w:val="24"/>
        </w:rPr>
        <w:t>任何情况下，存款银行都不得将存款投资本息划往任何其他账户。</w:t>
      </w:r>
    </w:p>
    <w:p>
      <w:pPr>
        <w:adjustRightInd w:val="0"/>
        <w:snapToGrid w:val="0"/>
        <w:spacing w:line="480" w:lineRule="exact"/>
        <w:ind w:firstLine="480"/>
        <w:rPr>
          <w:rFonts w:asciiTheme="minorEastAsia" w:hAnsiTheme="minorEastAsia" w:eastAsiaTheme="minorEastAsia"/>
          <w:sz w:val="24"/>
        </w:rPr>
      </w:pPr>
      <w:r>
        <w:rPr>
          <w:rFonts w:hint="eastAsia" w:asciiTheme="minorEastAsia" w:hAnsiTheme="minorEastAsia" w:eastAsiaTheme="minorEastAsia"/>
          <w:bCs/>
          <w:sz w:val="24"/>
        </w:rPr>
        <w:t>（2）</w:t>
      </w:r>
      <w:r>
        <w:rPr>
          <w:rFonts w:hint="eastAsia" w:asciiTheme="minorEastAsia" w:hAnsiTheme="minorEastAsia" w:eastAsiaTheme="minorEastAsia"/>
          <w:sz w:val="24"/>
        </w:rPr>
        <w:t>存款银行不得接受基金管理人或基金托管人任何一方单方面提出的对存款进行更名、转让、挂失、质押、担保、撤销、变更印鉴及回款账户信息等可能导致财产转移的操作申请。</w:t>
      </w:r>
    </w:p>
    <w:p>
      <w:pPr>
        <w:adjustRightInd w:val="0"/>
        <w:snapToGrid w:val="0"/>
        <w:spacing w:line="480" w:lineRule="exact"/>
        <w:ind w:firstLine="480"/>
        <w:rPr>
          <w:rFonts w:asciiTheme="minorEastAsia" w:hAnsiTheme="minorEastAsia" w:eastAsiaTheme="minorEastAsia"/>
          <w:sz w:val="24"/>
        </w:rPr>
      </w:pPr>
      <w:r>
        <w:rPr>
          <w:rFonts w:hint="eastAsia" w:asciiTheme="minorEastAsia" w:hAnsiTheme="minorEastAsia" w:eastAsiaTheme="minorEastAsia"/>
          <w:sz w:val="24"/>
        </w:rPr>
        <w:t>（3）约定存款证实书的具体传递交接方式及交接期限。</w:t>
      </w:r>
    </w:p>
    <w:p>
      <w:pPr>
        <w:adjustRightInd w:val="0"/>
        <w:snapToGrid w:val="0"/>
        <w:spacing w:line="480" w:lineRule="exact"/>
        <w:ind w:firstLine="480"/>
        <w:rPr>
          <w:rFonts w:asciiTheme="minorEastAsia" w:hAnsiTheme="minorEastAsia" w:eastAsiaTheme="minorEastAsia"/>
          <w:sz w:val="24"/>
        </w:rPr>
      </w:pPr>
      <w:r>
        <w:rPr>
          <w:rFonts w:hint="eastAsia" w:asciiTheme="minorEastAsia" w:hAnsiTheme="minorEastAsia" w:eastAsiaTheme="minorEastAsia"/>
          <w:sz w:val="24"/>
        </w:rPr>
        <w:t>（4）资金划转过程中需要使用存款银行过渡账户的，存款银行须保证资金在过渡账户中不出现滞留，不被挪用。</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2.本基金投资银行存款，必须采用双方认可的方式办理。基金</w:t>
      </w:r>
      <w:r>
        <w:rPr>
          <w:rFonts w:hint="eastAsia" w:asciiTheme="minorEastAsia" w:hAnsiTheme="minorEastAsia" w:eastAsiaTheme="minorEastAsia"/>
          <w:bCs/>
          <w:sz w:val="24"/>
        </w:rPr>
        <w:t>托管人负责依据</w:t>
      </w:r>
      <w:r>
        <w:rPr>
          <w:rFonts w:hint="eastAsia" w:cs="Arial" w:asciiTheme="minorEastAsia" w:hAnsiTheme="minorEastAsia" w:eastAsiaTheme="minorEastAsia"/>
          <w:sz w:val="24"/>
        </w:rPr>
        <w:t>基金</w:t>
      </w:r>
      <w:r>
        <w:rPr>
          <w:rFonts w:hint="eastAsia" w:asciiTheme="minorEastAsia" w:hAnsiTheme="minorEastAsia" w:eastAsiaTheme="minorEastAsia"/>
          <w:bCs/>
          <w:sz w:val="24"/>
        </w:rPr>
        <w:t>管理人提供的银行存款投资合同/协议、投资指令、支取通知等有关文件办理资金的支付以及存款证实书的接收、保管与交付，切实履行托管职责。</w:t>
      </w:r>
      <w:r>
        <w:rPr>
          <w:rFonts w:hint="eastAsia" w:cs="Arial" w:asciiTheme="minorEastAsia" w:hAnsiTheme="minorEastAsia" w:eastAsiaTheme="minorEastAsia"/>
          <w:sz w:val="24"/>
        </w:rPr>
        <w:t>基金</w:t>
      </w:r>
      <w:r>
        <w:rPr>
          <w:rFonts w:hint="eastAsia" w:asciiTheme="minorEastAsia" w:hAnsiTheme="minorEastAsia" w:eastAsiaTheme="minorEastAsia"/>
          <w:bCs/>
          <w:sz w:val="24"/>
        </w:rPr>
        <w:t>托管人负责对存款开户证实书进行保管，</w:t>
      </w:r>
      <w:r>
        <w:rPr>
          <w:rFonts w:hint="eastAsia" w:asciiTheme="minorEastAsia" w:hAnsiTheme="minorEastAsia" w:eastAsiaTheme="minorEastAsia"/>
          <w:sz w:val="24"/>
        </w:rPr>
        <w:t>不负责对存款开户证实书真伪的辨别，不承担存款开户证实书对应存款的本金及收益的安全</w:t>
      </w:r>
      <w:r>
        <w:rPr>
          <w:rFonts w:hint="eastAsia" w:asciiTheme="minorEastAsia" w:hAnsiTheme="minorEastAsia" w:eastAsiaTheme="minorEastAsia"/>
          <w:bCs/>
          <w:sz w:val="24"/>
        </w:rPr>
        <w:t>。</w:t>
      </w:r>
      <w:r>
        <w:rPr>
          <w:rFonts w:hint="eastAsia" w:cs="Arial" w:asciiTheme="minorEastAsia" w:hAnsiTheme="minorEastAsia" w:eastAsiaTheme="minorEastAsia"/>
          <w:sz w:val="24"/>
        </w:rPr>
        <w:t xml:space="preserve">    </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基金管理人投资银行存款或办理存款支取时，应提前以书面或其他双方认可的方式通知基金托管人，以便基金托管人有足够的时间履行相应的业务操作程序。若发生逾期支取、提前支取或部分提前支取，基金托管人不承担相应利息损失及逾期支取手续费。</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对于已移交基金托管人保管的存款开户证实书等实物凭证，基金托管人应确保安全保管；对未按约定将存款开户证实书等实物凭证移交基金托管人保管的，基金托管人应向基金管理人进行必要的催缴和风险提示；提示后仍不将相关实物凭证送达基金托管人保管的，出于托管履职和尽责，基金托管人可视情况采取必要的风险控制措施：（1）建立风险预警机制，对于实物凭证未送达集中度较高的存款银行，主动发函基金管理人尽量避免在此类银行进行存款投资；（2）在定期报告中，对未按约定送达基金托管人保管的实物凭证信息进行规定范围信息披露；（3）未送达实物凭证超过送单截止日后30个工作日，且累计超过3笔（含）以上的，部分或全部暂停配合基金管理人办理后续新增存款投资业务，直至实物凭证送达基金托管人保管后解除。实物凭证未送达但存款本息已安全划回托管资金账户的，以及因发生特殊情况由基金管理人提供相关书面说明并重新承诺送单截止时间的，可剔除不计。</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（八）本基金通过第三方销售机构参与开放式基金投资的特别约定</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基金可以通过第三方基金销售机构渠道投资开放式基金。为维护基金份额持有人利益、保障资产安全，基金管理人应负责制订选择第三方基金销售机构的标准和程序，并据此选择第三方销售机构。对于第三方基金销售机构原因给本基金造成损失的，相关责任由基金管理人承担。</w:t>
      </w:r>
    </w:p>
    <w:p>
      <w:pPr>
        <w:adjustRightInd w:val="0"/>
        <w:snapToGrid w:val="0"/>
        <w:spacing w:line="480" w:lineRule="exact"/>
        <w:rPr>
          <w:rFonts w:cs="Arial" w:asciiTheme="minorEastAsia" w:hAnsiTheme="minorEastAsia" w:eastAsiaTheme="minorEastAsia"/>
          <w:sz w:val="24"/>
        </w:rPr>
      </w:pPr>
    </w:p>
    <w:p>
      <w:pPr>
        <w:pStyle w:val="2"/>
        <w:spacing w:before="0" w:after="0" w:line="480" w:lineRule="exact"/>
        <w:jc w:val="center"/>
        <w:rPr>
          <w:rFonts w:asciiTheme="minorEastAsia" w:hAnsiTheme="minorEastAsia" w:eastAsiaTheme="minorEastAsia"/>
          <w:sz w:val="30"/>
        </w:rPr>
      </w:pPr>
      <w:bookmarkStart w:id="86" w:name="_Toc124325892"/>
      <w:bookmarkStart w:id="87" w:name="_Hlk193011797"/>
      <w:r>
        <w:rPr>
          <w:rFonts w:hint="eastAsia" w:asciiTheme="minorEastAsia" w:hAnsiTheme="minorEastAsia" w:eastAsiaTheme="minorEastAsia"/>
          <w:sz w:val="30"/>
        </w:rPr>
        <w:t>八、基金资产净值计算和会计核算</w:t>
      </w:r>
      <w:bookmarkEnd w:id="86"/>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（一）基金资产净值的计算、复核与完成的时间及程序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基金资产净值是指基金资产总值减去基金负债后的价值。基金份额净值是按照某类基金资产净值除以当日该类基金份额的余额数量计算，精确到0.0001元，小数点后第5位四舍五入。基金管理人可以设立大额赎回情形下的净值精度应急调整机制。国家另有规定的，从其规定。T日的各类基金份额净值在所投资基金披露净值或万份收益的当日（法定节假日顺延至第一个交易日）计算，并于T+3日内公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基金管理人应每个工作日计算基金资产净值及各类基金份额的基金份额净值，并按规定披露。</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基金管理人应每个工作日对基金资产估值。但基金管理人根据法律法规或基金合同的规定暂停估值时除外。基金管理人每个工作日对基金资产估值后，将各类基金份额的基金份额净值结果发送基金托管人，经基金托管人复核无误后，由基金管理人按规定对外公布。</w:t>
      </w:r>
    </w:p>
    <w:p>
      <w:pPr>
        <w:spacing w:line="480" w:lineRule="exact"/>
        <w:ind w:firstLine="480" w:firstLineChars="200"/>
        <w:rPr>
          <w:rFonts w:cs="Arial" w:asciiTheme="minorEastAsia" w:hAnsiTheme="minorEastAsia" w:eastAsiaTheme="minorEastAsia"/>
          <w:sz w:val="24"/>
        </w:rPr>
      </w:pPr>
      <w:bookmarkStart w:id="88" w:name="_Hlk132725196"/>
      <w:r>
        <w:rPr>
          <w:rFonts w:hint="eastAsia" w:cs="Arial" w:asciiTheme="minorEastAsia" w:hAnsiTheme="minorEastAsia" w:eastAsiaTheme="minorEastAsia"/>
          <w:sz w:val="24"/>
        </w:rPr>
        <w:t>（二）基金资产估值方法和特殊情形的处理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1.估值对象</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基金所拥有的股票、债券</w:t>
      </w:r>
      <w:r>
        <w:rPr>
          <w:rFonts w:hint="eastAsia" w:cs="Arial" w:asciiTheme="minorEastAsia" w:hAnsiTheme="minorEastAsia" w:eastAsiaTheme="minorEastAsia"/>
          <w:sz w:val="24"/>
        </w:rPr>
        <w:t>、基金份额、资产支持证券、银行存款本息</w:t>
      </w:r>
      <w:r>
        <w:rPr>
          <w:rFonts w:cs="Arial" w:asciiTheme="minorEastAsia" w:hAnsiTheme="minorEastAsia" w:eastAsiaTheme="minorEastAsia"/>
          <w:sz w:val="24"/>
        </w:rPr>
        <w:t>和其</w:t>
      </w:r>
      <w:r>
        <w:rPr>
          <w:rFonts w:hint="eastAsia" w:cs="Arial" w:asciiTheme="minorEastAsia" w:hAnsiTheme="minorEastAsia" w:eastAsiaTheme="minorEastAsia"/>
          <w:sz w:val="24"/>
        </w:rPr>
        <w:t>他</w:t>
      </w:r>
      <w:r>
        <w:rPr>
          <w:rFonts w:cs="Arial" w:asciiTheme="minorEastAsia" w:hAnsiTheme="minorEastAsia" w:eastAsiaTheme="minorEastAsia"/>
          <w:sz w:val="24"/>
        </w:rPr>
        <w:t>投资等</w:t>
      </w:r>
      <w:r>
        <w:rPr>
          <w:rFonts w:hint="eastAsia" w:cs="Arial" w:asciiTheme="minorEastAsia" w:hAnsiTheme="minorEastAsia" w:eastAsiaTheme="minorEastAsia"/>
          <w:sz w:val="24"/>
        </w:rPr>
        <w:t>持续以公允价值计量的金融</w:t>
      </w:r>
      <w:r>
        <w:rPr>
          <w:rFonts w:cs="Arial" w:asciiTheme="minorEastAsia" w:hAnsiTheme="minorEastAsia" w:eastAsiaTheme="minorEastAsia"/>
          <w:sz w:val="24"/>
        </w:rPr>
        <w:t>资产及负债。</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2.估值方法</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（1）以公允价值计量的权益品种的估值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交易所已上市的权益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采用估值技术确定公允价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2）交易所处于未上市期间的有价权益证券应区分如下情况处理：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①送股、转增股、配股和公开增发的新股，按估值日在证券交易所挂牌的同一股票的估值方法估值；该日无交易的，以最近一日的市价（收盘价）估值；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②首次公开发行未上市的股票，采用估值技术确定公允价值；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③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（2）以公允价值计量的固定收益品种的估值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1）对于已上市或已挂牌转让的不含权固定收益品种，选取第三方估值基准服务机构提供的相应品种当日的估值全价，基金管理人应根据相关法律、法规的规定进行涉税处理（下同）。</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2）对于已上市或已挂牌转让的含权固定收益品种，选取第三方估值基准服务机构提供的相应品种当日的唯一估值全价或推荐估值全价。</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对于在交易所市场上市交易的公开发行的可转换债券等有活跃市场的含转股权的债券，实行全价交易的债券选取估值日收盘价作为估值全价；实行净价交易的债券选取估值日收盘价并加计每百元应计利息作为估值全价。</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4）对于未上市或未挂牌转让且不存在活跃市场的固定收益品种，应采用在当前情况下适用并且有足够可利用数据和其他信息支持的估值技术确定其公允价值。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5）对于发行人已破产、发行人未能按时足额偿付本金或利息，或者有其它可靠信息表明本金或利息无法按时足额偿付的债券投资品种，第三方估值基准服务机构可在提供推荐价格的同时提供价格区间作为公允价值的参考范围以及公允价值存在重大不确定性的相关提示。基金管理人在与基金托管人协商一致后，可采用价格区间中的数据作为该债券投资品种的公允价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6）当基金管理人认为第三方估值基准服务机构发布的估值或估值区间未能体现公允价值时，基金管理人应综合第三方估值基准服务机构估值结果以及内部评估结果，经与基金托管人协商，谨慎确定公允价值，并按相关法规的规定，发布相关公告，充分披露确定公允价值的方法、相关估值结果等信息。</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（3）同一证券同时在两个或两个以上市场交易的，按证券所处的市场分别估值。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cs="Arial" w:asciiTheme="minorEastAsia" w:hAnsiTheme="minorEastAsia" w:eastAsiaTheme="minorEastAsia"/>
          <w:sz w:val="24"/>
        </w:rPr>
        <w:t>4</w:t>
      </w:r>
      <w:r>
        <w:rPr>
          <w:rFonts w:hint="eastAsia" w:cs="Arial" w:asciiTheme="minorEastAsia" w:hAnsiTheme="minorEastAsia" w:eastAsiaTheme="minorEastAsia"/>
          <w:sz w:val="24"/>
        </w:rPr>
        <w:t>）基金估值方法</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1）本基金投资于非上市基金的估值。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①本基金投资的境内非货币市场基金，按所投资基金估值日的份额净值估值。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②本基金投资的境内货币市场基金，如其披露万份（百份）收益，按所投资基金前一估值日后至估值日期间（含节假日）的万份（百份）收益计提估值日基金收益；如所投资基金披露份额净值，则按所投资基金估值日的份额净值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2）本</w:t>
      </w:r>
      <w:r>
        <w:rPr>
          <w:rFonts w:cs="Arial" w:asciiTheme="minorEastAsia" w:hAnsiTheme="minorEastAsia" w:eastAsiaTheme="minorEastAsia"/>
          <w:sz w:val="24"/>
        </w:rPr>
        <w:t>基金</w:t>
      </w:r>
      <w:r>
        <w:rPr>
          <w:rFonts w:hint="eastAsia" w:cs="Arial" w:asciiTheme="minorEastAsia" w:hAnsiTheme="minorEastAsia" w:eastAsiaTheme="minorEastAsia"/>
          <w:sz w:val="24"/>
        </w:rPr>
        <w:t>投资于交易所上市基金的估值。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①本基金投资的</w:t>
      </w:r>
      <w:r>
        <w:rPr>
          <w:rFonts w:cs="Arial" w:asciiTheme="minorEastAsia" w:hAnsiTheme="minorEastAsia" w:eastAsiaTheme="minorEastAsia"/>
          <w:sz w:val="24"/>
        </w:rPr>
        <w:t>ETF</w:t>
      </w:r>
      <w:r>
        <w:rPr>
          <w:rFonts w:hint="eastAsia" w:cs="Arial" w:asciiTheme="minorEastAsia" w:hAnsiTheme="minorEastAsia" w:eastAsiaTheme="minorEastAsia"/>
          <w:sz w:val="24"/>
        </w:rPr>
        <w:t>基金，按所投资</w:t>
      </w:r>
      <w:r>
        <w:rPr>
          <w:rFonts w:cs="Arial" w:asciiTheme="minorEastAsia" w:hAnsiTheme="minorEastAsia" w:eastAsiaTheme="minorEastAsia"/>
          <w:sz w:val="24"/>
        </w:rPr>
        <w:t>ETF</w:t>
      </w:r>
      <w:r>
        <w:rPr>
          <w:rFonts w:hint="eastAsia" w:cs="Arial" w:asciiTheme="minorEastAsia" w:hAnsiTheme="minorEastAsia" w:eastAsiaTheme="minorEastAsia"/>
          <w:sz w:val="24"/>
        </w:rPr>
        <w:t>基金估值日的收盘价估值。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②本基金投资的境内上市开放式基金（</w:t>
      </w:r>
      <w:r>
        <w:rPr>
          <w:rFonts w:cs="Arial" w:asciiTheme="minorEastAsia" w:hAnsiTheme="minorEastAsia" w:eastAsiaTheme="minorEastAsia"/>
          <w:sz w:val="24"/>
        </w:rPr>
        <w:t>LOF</w:t>
      </w:r>
      <w:r>
        <w:rPr>
          <w:rFonts w:hint="eastAsia" w:cs="Arial" w:asciiTheme="minorEastAsia" w:hAnsiTheme="minorEastAsia" w:eastAsiaTheme="minorEastAsia"/>
          <w:sz w:val="24"/>
        </w:rPr>
        <w:t>），按所投资基金估值日的份额净值估值。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③本基金投资的境内上市定期开放式基金、封闭式基金，按所投资基金估值日的收盘价估值。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④本基金投资的境内上市交易型货币市场基金，如所投资基金披露份额净值，则按所投资基金估值日的份额净值估值；如所投资基金披露万份（百份）收益，则按所投资基金前一估值日后至估值日期间（含节假日）的万份（百份）收益计提估值日基金收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3）如遇所投资基金不公布基金份额净值、进行折算或拆分、估值日无交易等特殊情况，基金管理人根据</w:t>
      </w:r>
      <w:r>
        <w:rPr>
          <w:rFonts w:cs="Arial" w:asciiTheme="minorEastAsia" w:hAnsiTheme="minorEastAsia" w:eastAsiaTheme="minorEastAsia"/>
          <w:sz w:val="24"/>
        </w:rPr>
        <w:t>《</w:t>
      </w:r>
      <w:r>
        <w:rPr>
          <w:rFonts w:hint="eastAsia" w:cs="Arial" w:asciiTheme="minorEastAsia" w:hAnsiTheme="minorEastAsia" w:eastAsiaTheme="minorEastAsia"/>
          <w:sz w:val="24"/>
        </w:rPr>
        <w:t>基金中基金估值业务指引（试行）</w:t>
      </w:r>
      <w:r>
        <w:rPr>
          <w:rFonts w:cs="Arial" w:asciiTheme="minorEastAsia" w:hAnsiTheme="minorEastAsia" w:eastAsiaTheme="minorEastAsia"/>
          <w:sz w:val="24"/>
        </w:rPr>
        <w:t>》</w:t>
      </w:r>
      <w:r>
        <w:rPr>
          <w:rFonts w:hint="eastAsia" w:cs="Arial" w:asciiTheme="minorEastAsia" w:hAnsiTheme="minorEastAsia" w:eastAsiaTheme="minorEastAsia"/>
          <w:sz w:val="24"/>
        </w:rPr>
        <w:t>等相关法律法规以及监管部门、自律规则的</w:t>
      </w:r>
      <w:r>
        <w:rPr>
          <w:rFonts w:cs="Arial" w:asciiTheme="minorEastAsia" w:hAnsiTheme="minorEastAsia" w:eastAsiaTheme="minorEastAsia"/>
          <w:sz w:val="24"/>
        </w:rPr>
        <w:t>规定进行估值。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bCs/>
          <w:sz w:val="24"/>
        </w:rPr>
        <w:t>4）当基金管理人认为所投资基金按上述第（1）至第（3）条进行估值存在不公允时，应与基金托管人协商一致采用合理的估值技术或估值标准确定其公允价值。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cs="Arial" w:asciiTheme="minorEastAsia" w:hAnsiTheme="minorEastAsia" w:eastAsiaTheme="minorEastAsia"/>
          <w:sz w:val="24"/>
        </w:rPr>
        <w:t>5</w:t>
      </w:r>
      <w:r>
        <w:rPr>
          <w:rFonts w:hint="eastAsia" w:cs="Arial" w:asciiTheme="minorEastAsia" w:hAnsiTheme="minorEastAsia" w:eastAsiaTheme="minorEastAsia"/>
          <w:sz w:val="24"/>
        </w:rPr>
        <w:t>）当基金发生大额申购或赎回情形时，基金管理人可以采用摆动定价机制，以确保基金估值的公平性。</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cs="Arial" w:asciiTheme="minorEastAsia" w:hAnsiTheme="minorEastAsia" w:eastAsiaTheme="minorEastAsia"/>
          <w:sz w:val="24"/>
        </w:rPr>
        <w:t>6</w:t>
      </w:r>
      <w:r>
        <w:rPr>
          <w:rFonts w:hint="eastAsia" w:cs="Arial" w:asciiTheme="minorEastAsia" w:hAnsiTheme="minorEastAsia" w:eastAsiaTheme="minorEastAsia"/>
          <w:sz w:val="24"/>
        </w:rPr>
        <w:t>）估值计算中涉及港币对人民币汇率的，应当以基金估值日中国人民银行或其授权机构公布的人民币与港币的汇率中间价为准。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cs="Arial" w:asciiTheme="minorEastAsia" w:hAnsiTheme="minorEastAsia" w:eastAsiaTheme="minorEastAsia"/>
          <w:sz w:val="24"/>
        </w:rPr>
        <w:t>7</w:t>
      </w:r>
      <w:r>
        <w:rPr>
          <w:rFonts w:hint="eastAsia" w:cs="Arial" w:asciiTheme="minorEastAsia" w:hAnsiTheme="minorEastAsia" w:eastAsiaTheme="minorEastAsia"/>
          <w:sz w:val="24"/>
        </w:rPr>
        <w:t>）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w:t>
      </w:r>
      <w:r>
        <w:rPr>
          <w:rFonts w:cs="Arial" w:asciiTheme="minorEastAsia" w:hAnsiTheme="minorEastAsia" w:eastAsiaTheme="minorEastAsia"/>
          <w:sz w:val="24"/>
        </w:rPr>
        <w:t>8</w:t>
      </w:r>
      <w:r>
        <w:rPr>
          <w:rFonts w:hint="eastAsia" w:cs="Arial" w:asciiTheme="minorEastAsia" w:hAnsiTheme="minorEastAsia" w:eastAsiaTheme="minorEastAsia"/>
          <w:sz w:val="24"/>
        </w:rPr>
        <w:t>）本基金投资存托凭证的估值核算依照内地上市交易的股票执行。</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（9）存款的估值方法</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持有的银行定期存款或通知存款以本金列示，按协议或合同利率逐日确认利息收入。</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（10）如有确凿证据表明按原有方法进行估值不能客观反映上述资产或负债公允价值的，基金管理人可根据具体情况与基金托管人商定后，按最能反映公允价值的方法估值。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（11）相关法律法规以及监管部门、自律规则另有规定的，从其规定。如有新增事项，按国家最新规定估值。</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如基金管理人或基金托管人发现基金估值违反基金合同订明的估值方法、程序及相关法律法规的规定或者未能充分维护基金份额持有人利益时，应立即通知对方，共同查明原因，双方协商解决。</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w:t>
      </w:r>
      <w:r>
        <w:rPr>
          <w:rFonts w:hint="eastAsia" w:asciiTheme="minorEastAsia" w:hAnsiTheme="minorEastAsia" w:eastAsiaTheme="minorEastAsia"/>
          <w:sz w:val="24"/>
          <w:szCs w:val="21"/>
        </w:rPr>
        <w:t>基金管理人向基金托管人出具盖章的书面说明后，</w:t>
      </w:r>
      <w:r>
        <w:rPr>
          <w:rFonts w:cs="Arial" w:asciiTheme="minorEastAsia" w:hAnsiTheme="minorEastAsia" w:eastAsiaTheme="minorEastAsia"/>
          <w:sz w:val="24"/>
        </w:rPr>
        <w:t>按照基金管理人对基金净值信息的计算结果对外予以公布，由此给基金份额持有人和基金造成的损失以及因该交易日基金资产净值计算顺延错误而引起的损失，基金托管人不承担任何责任。</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3.特殊情形的处理</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asciiTheme="minorEastAsia" w:hAnsiTheme="minorEastAsia" w:eastAsiaTheme="minorEastAsia"/>
          <w:sz w:val="24"/>
        </w:rPr>
        <w:t>（1</w:t>
      </w:r>
      <w:r>
        <w:rPr>
          <w:rStyle w:val="33"/>
          <w:rFonts w:hint="eastAsia" w:asciiTheme="minorEastAsia" w:hAnsiTheme="minorEastAsia" w:eastAsiaTheme="minorEastAsia"/>
          <w:sz w:val="24"/>
        </w:rPr>
        <w:t>）基金管理人或基金托管人按估值方法的第（10）项进行估值时，所造成的误差不作为基金资产估值错误处理。</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asciiTheme="minorEastAsia" w:hAnsiTheme="minorEastAsia" w:eastAsiaTheme="minorEastAsia"/>
          <w:sz w:val="24"/>
        </w:rPr>
        <w:t>（2</w:t>
      </w:r>
      <w:r>
        <w:rPr>
          <w:rStyle w:val="33"/>
          <w:rFonts w:hint="eastAsia" w:asciiTheme="minorEastAsia" w:hAnsiTheme="minorEastAsia" w:eastAsiaTheme="minorEastAsia"/>
          <w:sz w:val="24"/>
        </w:rPr>
        <w:t>）由于不可抗力原因，或由于证券交易所、登记结算公司、估值基准服务机构、存款银行等第三方机构发送的数据错误，或国家会计政策变更、市场规则变更等非基金管理人与基金托管人原因，基金管理人和基金托管人虽然已经采取必要、适当、合理的措施进行检查，但未能发现错误或发现错误但因前述原因无法改正的，由此造成的基金资产估值错误，基金管理人和基金托管人免除赔偿责任。但基金管理人、基金托管人应当积极采取必要的措施减轻或消除由此造成的影响。</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（三）基金份额净值错误的处理方式</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hint="eastAsia" w:asciiTheme="minorEastAsia" w:hAnsiTheme="minorEastAsia" w:eastAsiaTheme="minorEastAsia"/>
          <w:sz w:val="24"/>
        </w:rPr>
        <w:t>1</w:t>
      </w:r>
      <w:r>
        <w:rPr>
          <w:rStyle w:val="33"/>
          <w:rFonts w:asciiTheme="minorEastAsia" w:hAnsiTheme="minorEastAsia" w:eastAsiaTheme="minorEastAsia"/>
          <w:sz w:val="24"/>
        </w:rPr>
        <w:t>.</w:t>
      </w:r>
      <w:r>
        <w:rPr>
          <w:rStyle w:val="33"/>
          <w:rFonts w:hint="eastAsia" w:asciiTheme="minorEastAsia" w:hAnsiTheme="minorEastAsia" w:eastAsiaTheme="minorEastAsia"/>
          <w:sz w:val="24"/>
        </w:rPr>
        <w:t>当任一类基金份额净值小数点后4位以内(含第4位)发生估值错误时，视为该类基金份额净值错误；基金份额净值出现错误时，基金管理人应当立即予以纠正，通报基金托管人，并采取合理的措施防止损失进一步扩大。</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hint="eastAsia" w:asciiTheme="minorEastAsia" w:hAnsiTheme="minorEastAsia" w:eastAsiaTheme="minorEastAsia"/>
          <w:sz w:val="24"/>
        </w:rPr>
        <w:t>2</w:t>
      </w:r>
      <w:r>
        <w:rPr>
          <w:rStyle w:val="33"/>
          <w:rFonts w:asciiTheme="minorEastAsia" w:hAnsiTheme="minorEastAsia" w:eastAsiaTheme="minorEastAsia"/>
          <w:sz w:val="24"/>
        </w:rPr>
        <w:t>.</w:t>
      </w:r>
      <w:r>
        <w:rPr>
          <w:rStyle w:val="33"/>
          <w:rFonts w:hint="eastAsia" w:asciiTheme="minorEastAsia" w:hAnsiTheme="minorEastAsia" w:eastAsiaTheme="minorEastAsia"/>
          <w:sz w:val="24"/>
        </w:rPr>
        <w:t>错误偏差达到该类基金份额净值的0.25%时，基金管理人应当通报基金托管人并报中国证监会备案；错误偏差达到该类基金份额净值的0.5%时，基金管理人应当公告，并报中国证监会备案。当发生净值计算错误时，由基金管理人负责处理，由此给基金份额持有人和基金造成损失的，应由基金管理人先行赔付，基金管理人按差错情形，有权向其他当事人追偿。</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hint="eastAsia" w:asciiTheme="minorEastAsia" w:hAnsiTheme="minorEastAsia" w:eastAsiaTheme="minorEastAsia"/>
          <w:sz w:val="24"/>
        </w:rPr>
        <w:t>3</w:t>
      </w:r>
      <w:r>
        <w:rPr>
          <w:rStyle w:val="33"/>
          <w:rFonts w:asciiTheme="minorEastAsia" w:hAnsiTheme="minorEastAsia" w:eastAsiaTheme="minorEastAsia"/>
          <w:sz w:val="24"/>
        </w:rPr>
        <w:t>.</w:t>
      </w:r>
      <w:r>
        <w:rPr>
          <w:rStyle w:val="33"/>
          <w:rFonts w:hint="eastAsia" w:asciiTheme="minorEastAsia" w:hAnsiTheme="minorEastAsia" w:eastAsiaTheme="minorEastAsia"/>
          <w:sz w:val="24"/>
        </w:rPr>
        <w:t>当基金份额净值计算差错给基金和基金份额持有人造成损失需要进行赔偿时，基金管理人和基金托管人应根据实际情况界定双方承担的责任，经确认后按以下条款进行赔偿：</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hint="eastAsia" w:asciiTheme="minorEastAsia" w:hAnsiTheme="minorEastAsia" w:eastAsiaTheme="minorEastAsia"/>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hint="eastAsia" w:asciiTheme="minorEastAsia" w:hAnsiTheme="minorEastAsia" w:eastAsiaTheme="minorEastAsia"/>
          <w:sz w:val="24"/>
        </w:rPr>
        <w:t>②若基金管理人计算的各类基金份额净值已由基金托管人复核确认后公告，而且基金托管人未对计算过程提出疑义或要求基金管理人书面说明，基金份额净值出错且由此给基金份额持有人造成损失的，应根据法律法规的规定对投资者或基金支付赔偿金，就实际向投资者或基金支付的赔偿金额，基金管理人与基金托管人按照</w:t>
      </w:r>
      <w:r>
        <w:rPr>
          <w:rFonts w:hint="eastAsia" w:asciiTheme="minorEastAsia" w:hAnsiTheme="minorEastAsia" w:eastAsiaTheme="minorEastAsia"/>
          <w:kern w:val="0"/>
          <w:sz w:val="24"/>
        </w:rPr>
        <w:t>管理费和托管费的比例</w:t>
      </w:r>
      <w:r>
        <w:rPr>
          <w:rStyle w:val="33"/>
          <w:rFonts w:hint="eastAsia" w:asciiTheme="minorEastAsia" w:hAnsiTheme="minorEastAsia" w:eastAsiaTheme="minorEastAsia"/>
          <w:sz w:val="24"/>
        </w:rPr>
        <w:t>各自承担相应的责任。</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hint="eastAsia" w:asciiTheme="minorEastAsia" w:hAnsiTheme="minorEastAsia" w:eastAsiaTheme="minorEastAsia"/>
          <w:sz w:val="24"/>
        </w:rPr>
        <w:t>③如基金管理人和基金托管人对各类基金份额净值的计算结果，虽然多次重新计算和核对，尚不能达成一致时，为避免不能按时公布各类基金份额净值的情形，以基金管理人的计算结果对外公布，由此给基金份额持有人和基金造成的损失，由基金管理人负责赔付。</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hint="eastAsia" w:asciiTheme="minorEastAsia" w:hAnsiTheme="minorEastAsia" w:eastAsiaTheme="minorEastAsia"/>
          <w:sz w:val="24"/>
        </w:rPr>
        <w:t>④由于基金管理人提供的信息错误（包括但不限于基金申购或赎回金额错误等），进而导致基金份额净值计算错误而引起的基金份额持有人和基金财产的损失，由基金管理人负责赔付。</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hint="eastAsia" w:asciiTheme="minorEastAsia" w:hAnsiTheme="minorEastAsia" w:eastAsiaTheme="minorEastAsia"/>
          <w:sz w:val="24"/>
        </w:rPr>
        <w:t>4</w:t>
      </w:r>
      <w:r>
        <w:rPr>
          <w:rStyle w:val="33"/>
          <w:rFonts w:asciiTheme="minorEastAsia" w:hAnsiTheme="minorEastAsia" w:eastAsiaTheme="minorEastAsia"/>
          <w:sz w:val="24"/>
        </w:rPr>
        <w:t>.</w:t>
      </w:r>
      <w:r>
        <w:rPr>
          <w:rStyle w:val="33"/>
          <w:rFonts w:hint="eastAsia" w:asciiTheme="minorEastAsia" w:hAnsiTheme="minorEastAsia" w:eastAsiaTheme="minorEastAsia"/>
          <w:sz w:val="24"/>
        </w:rPr>
        <w:t>前述内容如法律法规或监管机关另有规定的，从其规定处理。如果行业另有通行做法，双方当事人应本着平等和保护基金份额持有人利益的原则进行协商。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（四）暂停估值的情形</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asciiTheme="minorEastAsia" w:hAnsiTheme="minorEastAsia" w:eastAsiaTheme="minorEastAsia"/>
          <w:sz w:val="24"/>
        </w:rPr>
        <w:t>1、基金投资所涉及的证券交易市场</w:t>
      </w:r>
      <w:r>
        <w:rPr>
          <w:rStyle w:val="33"/>
          <w:rFonts w:hint="eastAsia" w:asciiTheme="minorEastAsia" w:hAnsiTheme="minorEastAsia" w:eastAsiaTheme="minorEastAsia"/>
          <w:sz w:val="24"/>
        </w:rPr>
        <w:t>或相关交易所、外汇市场</w:t>
      </w:r>
      <w:r>
        <w:rPr>
          <w:rStyle w:val="33"/>
          <w:rFonts w:asciiTheme="minorEastAsia" w:hAnsiTheme="minorEastAsia" w:eastAsiaTheme="minorEastAsia"/>
          <w:sz w:val="24"/>
        </w:rPr>
        <w:t>遇法定节假日或因其他原因暂停营业时；</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asciiTheme="minorEastAsia" w:hAnsiTheme="minorEastAsia" w:eastAsiaTheme="minorEastAsia"/>
          <w:sz w:val="24"/>
        </w:rPr>
        <w:t>2、因不可抗力致使基金管理人、基金托管人无法准确评估基金资产价值时；</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asciiTheme="minorEastAsia" w:hAnsiTheme="minorEastAsia" w:eastAsiaTheme="minorEastAsia"/>
          <w:sz w:val="24"/>
        </w:rPr>
        <w:t>3、</w:t>
      </w:r>
      <w:r>
        <w:rPr>
          <w:rStyle w:val="33"/>
          <w:rFonts w:hint="eastAsia" w:asciiTheme="minorEastAsia" w:hAnsiTheme="minorEastAsia" w:eastAsiaTheme="minorEastAsia"/>
          <w:sz w:val="24"/>
        </w:rPr>
        <w:t>当前一估值日基金资产净值</w:t>
      </w:r>
      <w:r>
        <w:rPr>
          <w:rStyle w:val="33"/>
          <w:rFonts w:asciiTheme="minorEastAsia" w:hAnsiTheme="minorEastAsia" w:eastAsiaTheme="minorEastAsia"/>
          <w:sz w:val="24"/>
        </w:rPr>
        <w:t xml:space="preserve"> </w:t>
      </w:r>
      <w:r>
        <w:rPr>
          <w:rStyle w:val="33"/>
          <w:rFonts w:hint="eastAsia" w:asciiTheme="minorEastAsia" w:hAnsiTheme="minorEastAsia" w:eastAsiaTheme="minorEastAsia"/>
          <w:sz w:val="24"/>
        </w:rPr>
        <w:t>50%以上的资产出现无可参考的活跃市场价格且采用估值技术仍导致公允价值存在重大不确定性时，经与基金托管人协商一致的，基金应当暂停估值</w:t>
      </w:r>
      <w:r>
        <w:rPr>
          <w:rStyle w:val="33"/>
          <w:rFonts w:asciiTheme="minorEastAsia" w:hAnsiTheme="minorEastAsia" w:eastAsiaTheme="minorEastAsia"/>
          <w:sz w:val="24"/>
        </w:rPr>
        <w:t>；</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asciiTheme="minorEastAsia" w:hAnsiTheme="minorEastAsia" w:eastAsiaTheme="minorEastAsia"/>
          <w:sz w:val="24"/>
        </w:rPr>
        <w:t>4</w:t>
      </w:r>
      <w:r>
        <w:rPr>
          <w:rStyle w:val="33"/>
          <w:rFonts w:hint="eastAsia" w:asciiTheme="minorEastAsia" w:hAnsiTheme="minorEastAsia" w:eastAsiaTheme="minorEastAsia"/>
          <w:sz w:val="24"/>
        </w:rPr>
        <w:t>、占相当比例的被投资基金暂停估值时；</w:t>
      </w:r>
    </w:p>
    <w:p>
      <w:pPr>
        <w:adjustRightInd w:val="0"/>
        <w:snapToGrid w:val="0"/>
        <w:spacing w:line="480" w:lineRule="exact"/>
        <w:ind w:firstLine="480" w:firstLineChars="200"/>
        <w:rPr>
          <w:rStyle w:val="33"/>
          <w:rFonts w:asciiTheme="minorEastAsia" w:hAnsiTheme="minorEastAsia" w:eastAsiaTheme="minorEastAsia"/>
          <w:sz w:val="24"/>
        </w:rPr>
      </w:pPr>
      <w:r>
        <w:rPr>
          <w:rStyle w:val="33"/>
          <w:rFonts w:asciiTheme="minorEastAsia" w:hAnsiTheme="minorEastAsia" w:eastAsiaTheme="minorEastAsia"/>
          <w:sz w:val="24"/>
        </w:rPr>
        <w:t>5</w:t>
      </w:r>
      <w:r>
        <w:rPr>
          <w:rStyle w:val="33"/>
          <w:rFonts w:hint="eastAsia" w:asciiTheme="minorEastAsia" w:hAnsiTheme="minorEastAsia" w:eastAsiaTheme="minorEastAsia"/>
          <w:sz w:val="24"/>
        </w:rPr>
        <w:t>、</w:t>
      </w:r>
      <w:r>
        <w:rPr>
          <w:rStyle w:val="33"/>
          <w:rFonts w:asciiTheme="minorEastAsia" w:hAnsiTheme="minorEastAsia" w:eastAsiaTheme="minorEastAsia"/>
          <w:sz w:val="24"/>
        </w:rPr>
        <w:t>中国证监会和基金合同认定的其它情形。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（五）实施侧袋机制期间的基金资产估值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本基金实施侧袋机制的，应根据本部分的约定对主袋账户资产进行估值并披露主袋账户的基金净值信息，暂停披露侧袋账户份额净值。</w:t>
      </w:r>
    </w:p>
    <w:bookmarkEnd w:id="88"/>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（六）基金会计制度</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按国家有关部门规定的会计制度执行。</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（七）基金账册的建立</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w:t>
      </w:r>
      <w:bookmarkStart w:id="89" w:name="OLE_LINK23"/>
      <w:bookmarkStart w:id="90" w:name="OLE_LINK24"/>
      <w:r>
        <w:rPr>
          <w:rFonts w:hint="eastAsia" w:cs="Arial" w:asciiTheme="minorEastAsia" w:hAnsiTheme="minorEastAsia" w:eastAsiaTheme="minorEastAsia"/>
          <w:sz w:val="24"/>
        </w:rPr>
        <w:t>金管理人进行基金会计核算并编制基金财务会计报告</w:t>
      </w:r>
      <w:bookmarkEnd w:id="89"/>
      <w:bookmarkEnd w:id="90"/>
      <w:r>
        <w:rPr>
          <w:rFonts w:hint="eastAsia" w:cs="Arial" w:asciiTheme="minorEastAsia" w:hAnsiTheme="minorEastAsia" w:eastAsiaTheme="minorEastAsia"/>
          <w:sz w:val="24"/>
        </w:rPr>
        <w:t>。基金管理人独立地设置、记录和保管本基金的全套账册。若基金管理人和基金托管人对会计处理方法存在分歧，应以基金管理人的处理方法为准。若当日核对不符，暂时无法查找到错账的原因而影响到基金净值信息的计算和披露的，以基金管理人的账册为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（八）基金财务报表与报告的编制和复核</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1.财务报表的编制</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基金财务报表由基金管理人编制，基金托管人复核。</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2.报表复核</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基金托管人在收到基金管理人编制的基金财务报表后，进行独立的复核。核对不符时，应及时通知基金管理人共同查出原因，进行调整，直至双方数据完全一致。</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3.财务报表的编制与复核时间安排</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(1)报表的编制</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人应当在每月结束后5个工作日内完成月度报表的编制；在季度结束之日起15个工作日内完成基金季度报告的编制；在上半年结束之日起两个月内完成基金中期报告的编制；在每年结束之日起三个月内完成基金年度报告的编制。基金年度报告中的财务会计报告应当经过符合《证券法》规定的会计师事务所审计。《基金合同》生效不足两个月的，基金管理人可以不编制当期季度报告、中期报告或者年度报告。</w:t>
      </w:r>
    </w:p>
    <w:p>
      <w:pPr>
        <w:pStyle w:val="3"/>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(2)报表的复核</w:t>
      </w:r>
    </w:p>
    <w:p>
      <w:pPr>
        <w:pStyle w:val="3"/>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基金管理人应及时完成报表编制，将有关报表提供基金托管人复核；基金托管人在复核过程中，发现双方的报表存在不符时，基金管理人和基金托管人应共同查明原因，进行调整，调整以国家有关规定为准。</w:t>
      </w:r>
    </w:p>
    <w:p>
      <w:pPr>
        <w:pStyle w:val="3"/>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基金管理人应留足充分的时间，便于基金托管人复核相关报表及报告。如果基金管理人与基金托管人不能于应当发布公告之日之前就相关报表达成一致，基金管理人按照其编制的报表对外发布公告，基金托管人有权就相关情况报中国证监会备案。</w:t>
      </w:r>
    </w:p>
    <w:p>
      <w:pPr>
        <w:pStyle w:val="3"/>
        <w:adjustRightInd w:val="0"/>
        <w:snapToGrid w:val="0"/>
        <w:spacing w:line="480" w:lineRule="exact"/>
        <w:ind w:firstLine="480"/>
        <w:rPr>
          <w:rFonts w:cs="Arial" w:asciiTheme="minorEastAsia" w:hAnsiTheme="minorEastAsia" w:eastAsiaTheme="minorEastAsia"/>
          <w:sz w:val="24"/>
        </w:rPr>
      </w:pPr>
      <w:r>
        <w:rPr>
          <w:rFonts w:hint="eastAsia" w:cs="Arial" w:asciiTheme="minorEastAsia" w:hAnsiTheme="minorEastAsia" w:eastAsiaTheme="minorEastAsia"/>
          <w:sz w:val="24"/>
        </w:rPr>
        <w:t>（九）基金管理人应在编制季度报告、中期报告或者年度报告之前及时向基金托管人提供基金业绩比较基准的基础数据和编制结果。</w:t>
      </w:r>
    </w:p>
    <w:p>
      <w:pPr>
        <w:pStyle w:val="3"/>
        <w:adjustRightInd w:val="0"/>
        <w:snapToGrid w:val="0"/>
        <w:spacing w:line="480" w:lineRule="exact"/>
        <w:ind w:firstLine="480"/>
        <w:rPr>
          <w:rFonts w:cs="Arial" w:asciiTheme="minorEastAsia" w:hAnsiTheme="minorEastAsia" w:eastAsiaTheme="minorEastAsia"/>
          <w:sz w:val="24"/>
        </w:rPr>
      </w:pPr>
    </w:p>
    <w:bookmarkEnd w:id="87"/>
    <w:p>
      <w:pPr>
        <w:widowControl/>
        <w:spacing w:line="480" w:lineRule="exact"/>
        <w:jc w:val="left"/>
        <w:rPr>
          <w:rFonts w:asciiTheme="minorEastAsia" w:hAnsiTheme="minorEastAsia" w:eastAsiaTheme="minorEastAsia"/>
          <w:b/>
          <w:sz w:val="30"/>
          <w:szCs w:val="20"/>
        </w:rPr>
      </w:pPr>
      <w:bookmarkStart w:id="91" w:name="_Toc124325893"/>
      <w:bookmarkStart w:id="92" w:name="_Hlk193011807"/>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九、基金收益分配</w:t>
      </w:r>
      <w:bookmarkEnd w:id="91"/>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基金收益分配是指按规定将基金的可分配收益按基金份额进行比例分配。</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（一）基金收益分配的原则</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1、在符合有关基金分红条件的前提下，基金管理人可以根据实际情况进行收益分配，具体分配方案详见届时基金管理人发布的公告，若《基金合同》生效不满3个月可不进行收益分配；</w:t>
      </w:r>
      <w:r>
        <w:rPr>
          <w:rFonts w:cs="Arial" w:asciiTheme="minorEastAsia" w:hAnsiTheme="minorEastAsia" w:eastAsiaTheme="minorEastAsia"/>
          <w:sz w:val="24"/>
        </w:rPr>
        <w:br w:type="textWrapping"/>
      </w:r>
      <w:r>
        <w:rPr>
          <w:rFonts w:cs="Arial" w:asciiTheme="minorEastAsia" w:hAnsiTheme="minorEastAsia" w:eastAsiaTheme="minorEastAsia"/>
          <w:sz w:val="24"/>
        </w:rPr>
        <w:t xml:space="preserve">    2、本基金收益分配方式分两种：现金分红与红利再投资，投资</w:t>
      </w:r>
      <w:r>
        <w:rPr>
          <w:rFonts w:hint="eastAsia" w:cs="Arial" w:asciiTheme="minorEastAsia" w:hAnsiTheme="minorEastAsia" w:eastAsiaTheme="minorEastAsia"/>
          <w:sz w:val="24"/>
        </w:rPr>
        <w:t>人</w:t>
      </w:r>
      <w:r>
        <w:rPr>
          <w:rFonts w:cs="Arial" w:asciiTheme="minorEastAsia" w:hAnsiTheme="minorEastAsia" w:eastAsiaTheme="minorEastAsia"/>
          <w:sz w:val="24"/>
        </w:rPr>
        <w:t>可选择现金红利或将现金红利自动转为同一类别基金份额进行再投资；若投资</w:t>
      </w:r>
      <w:r>
        <w:rPr>
          <w:rFonts w:hint="eastAsia" w:cs="Arial" w:asciiTheme="minorEastAsia" w:hAnsiTheme="minorEastAsia" w:eastAsiaTheme="minorEastAsia"/>
          <w:sz w:val="24"/>
        </w:rPr>
        <w:t>人</w:t>
      </w:r>
      <w:r>
        <w:rPr>
          <w:rFonts w:cs="Arial" w:asciiTheme="minorEastAsia" w:hAnsiTheme="minorEastAsia" w:eastAsiaTheme="minorEastAsia"/>
          <w:sz w:val="24"/>
        </w:rPr>
        <w:t>不选择，本基金默认的收益分配方式是现金分红；</w:t>
      </w:r>
      <w:r>
        <w:rPr>
          <w:rFonts w:cs="Arial" w:asciiTheme="minorEastAsia" w:hAnsiTheme="minorEastAsia" w:eastAsiaTheme="minorEastAsia"/>
          <w:sz w:val="24"/>
        </w:rPr>
        <w:br w:type="textWrapping"/>
      </w:r>
      <w:r>
        <w:rPr>
          <w:rFonts w:cs="Arial" w:asciiTheme="minorEastAsia" w:hAnsiTheme="minorEastAsia" w:eastAsiaTheme="minorEastAsia"/>
          <w:sz w:val="24"/>
        </w:rPr>
        <w:t xml:space="preserve">    </w:t>
      </w:r>
      <w:r>
        <w:rPr>
          <w:rFonts w:hint="eastAsia" w:cs="Arial" w:asciiTheme="minorEastAsia" w:hAnsiTheme="minorEastAsia" w:eastAsiaTheme="minorEastAsia"/>
          <w:sz w:val="24"/>
        </w:rPr>
        <w:t>3</w:t>
      </w:r>
      <w:r>
        <w:rPr>
          <w:rFonts w:cs="Arial" w:asciiTheme="minorEastAsia" w:hAnsiTheme="minorEastAsia" w:eastAsiaTheme="minorEastAsia"/>
          <w:sz w:val="24"/>
        </w:rPr>
        <w:t>、基金收益分配后</w:t>
      </w:r>
      <w:r>
        <w:rPr>
          <w:rFonts w:hint="eastAsia" w:cs="Arial" w:asciiTheme="minorEastAsia" w:hAnsiTheme="minorEastAsia" w:eastAsiaTheme="minorEastAsia"/>
          <w:sz w:val="24"/>
        </w:rPr>
        <w:t>各类</w:t>
      </w:r>
      <w:r>
        <w:rPr>
          <w:rFonts w:cs="Arial" w:asciiTheme="minorEastAsia" w:hAnsiTheme="minorEastAsia" w:eastAsiaTheme="minorEastAsia"/>
          <w:sz w:val="24"/>
        </w:rPr>
        <w:t>基金份额净值不能低于面值；即基金收益分配基准日的</w:t>
      </w:r>
      <w:r>
        <w:rPr>
          <w:rFonts w:hint="eastAsia" w:cs="Arial" w:asciiTheme="minorEastAsia" w:hAnsiTheme="minorEastAsia" w:eastAsiaTheme="minorEastAsia"/>
          <w:sz w:val="24"/>
        </w:rPr>
        <w:t>各类</w:t>
      </w:r>
      <w:r>
        <w:rPr>
          <w:rFonts w:cs="Arial" w:asciiTheme="minorEastAsia" w:hAnsiTheme="minorEastAsia" w:eastAsiaTheme="minorEastAsia"/>
          <w:sz w:val="24"/>
        </w:rPr>
        <w:t>基金份额净值减去每单位</w:t>
      </w:r>
      <w:r>
        <w:rPr>
          <w:rFonts w:hint="eastAsia" w:cs="Arial" w:asciiTheme="minorEastAsia" w:hAnsiTheme="minorEastAsia" w:eastAsiaTheme="minorEastAsia"/>
          <w:sz w:val="24"/>
        </w:rPr>
        <w:t>该类</w:t>
      </w:r>
      <w:r>
        <w:rPr>
          <w:rFonts w:cs="Arial" w:asciiTheme="minorEastAsia" w:hAnsiTheme="minorEastAsia" w:eastAsiaTheme="minorEastAsia"/>
          <w:sz w:val="24"/>
        </w:rPr>
        <w:t>基金份额收益分配金额后不能低于面值；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w:t>
      </w:r>
      <w:r>
        <w:rPr>
          <w:rFonts w:cs="Arial" w:asciiTheme="minorEastAsia" w:hAnsiTheme="minorEastAsia" w:eastAsiaTheme="minorEastAsia"/>
          <w:sz w:val="24"/>
        </w:rPr>
        <w:t>、同一类别每一基金份额享有同等分配权，红利再投资份额的锁定期视作与原份额相同；</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5</w:t>
      </w:r>
      <w:r>
        <w:rPr>
          <w:rFonts w:cs="Arial" w:asciiTheme="minorEastAsia" w:hAnsiTheme="minorEastAsia" w:eastAsiaTheme="minorEastAsia"/>
          <w:sz w:val="24"/>
        </w:rPr>
        <w:t>、法律法规或监管机关另有规定的，从其规定。</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在不违反法律法规、基金合同的约定以及对基金份额持有人利益无实质性不利影响的前提下，基金管理人经与基金托管人协商一致并按照监管部门要求履行适当程序后可对基金收益分配原则进行调整，但应于变更实施日前在规定媒介公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（二）基金收益分配的时间和程序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本基金收益分配方案由基金管理人拟定，并由基金托管人复核，在2日内在规定媒介公告。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收益分配时所发生的银行转账或其他手续费用由投资人自行承担。当投资人的现金红利小于一定金额，不足以支付银行转账或其他手续费用时，基金登记机构可将基金份额持有人的现金红利自动转为同一类别基金份额。红利再投资的计算方法，依照登记机构相关业务规则执行。</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（三）实施侧袋机制期间的收益分配</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本基金实施侧袋机制的，侧袋账户不进行收益分配，详见招募说明书的规定。</w:t>
      </w:r>
    </w:p>
    <w:p>
      <w:pPr>
        <w:adjustRightInd w:val="0"/>
        <w:snapToGrid w:val="0"/>
        <w:spacing w:line="480" w:lineRule="exact"/>
        <w:ind w:firstLine="480" w:firstLineChars="200"/>
        <w:rPr>
          <w:rFonts w:cs="Arial" w:asciiTheme="minorEastAsia" w:hAnsiTheme="minorEastAsia" w:eastAsiaTheme="minorEastAsia"/>
          <w:sz w:val="24"/>
        </w:rPr>
      </w:pPr>
    </w:p>
    <w:bookmarkEnd w:id="92"/>
    <w:p>
      <w:pPr>
        <w:widowControl/>
        <w:spacing w:line="480" w:lineRule="exact"/>
        <w:jc w:val="left"/>
        <w:rPr>
          <w:rFonts w:asciiTheme="minorEastAsia" w:hAnsiTheme="minorEastAsia" w:eastAsiaTheme="minorEastAsia"/>
          <w:b/>
          <w:sz w:val="30"/>
          <w:szCs w:val="20"/>
        </w:rPr>
      </w:pPr>
      <w:bookmarkStart w:id="93" w:name="_Toc124325894"/>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十、基金信息披露</w:t>
      </w:r>
      <w:bookmarkEnd w:id="93"/>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（一）保密义务</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托管人和基金管理人应按法律法规、《基金合同》的有关规定进行信息披露，拟公开披露的信息在公开披露之前应予保密。除按《基金法》、《基金合同》、《信息披露办法》、《流动性风险管理规定》及其他有关规定进行信息披露外，基金管理人和基金托管人对基金运作中产生的信息以及从对方获得的业务信息应予保密。但是，如下情况不应视为基金管理人或基金托管人违反保密义务：</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1.非因基金管理人和基金托管人的原因导致保密信息被披露、泄露或公开；</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2.基金管理人和基金托管人为遵守和服从法院判决或裁定、仲裁裁决或中国证监会等监管机构的命令、决定所做出的信息披露或公开；</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3.法律法规或监管机构、司法机关等有权机关要求提供；</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4.因审计、法律等外部专业顾问提供服务需要提供。。</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（二）信息披露的内容</w:t>
      </w:r>
    </w:p>
    <w:p>
      <w:pPr>
        <w:adjustRightInd w:val="0"/>
        <w:snapToGrid w:val="0"/>
        <w:spacing w:line="480" w:lineRule="exact"/>
        <w:ind w:firstLine="480" w:firstLineChars="200"/>
        <w:rPr>
          <w:rFonts w:cs="Arial" w:asciiTheme="minorEastAsia" w:hAnsiTheme="minorEastAsia" w:eastAsiaTheme="minorEastAsia"/>
          <w:sz w:val="24"/>
        </w:rPr>
      </w:pPr>
      <w:bookmarkStart w:id="94" w:name="_Hlk191903838"/>
      <w:r>
        <w:rPr>
          <w:rFonts w:hint="eastAsia" w:cs="Arial" w:asciiTheme="minorEastAsia" w:hAnsiTheme="minorEastAsia" w:eastAsiaTheme="minorEastAsia"/>
          <w:sz w:val="24"/>
        </w:rPr>
        <w:t>基金的信息披露内容主要包括基金招募说明书、《基金合同》、托管协议、基金</w:t>
      </w:r>
      <w:r>
        <w:rPr>
          <w:rFonts w:cs="Arial" w:asciiTheme="minorEastAsia" w:hAnsiTheme="minorEastAsia" w:eastAsiaTheme="minorEastAsia"/>
          <w:sz w:val="24"/>
        </w:rPr>
        <w:t>产品资料概要、</w:t>
      </w:r>
      <w:r>
        <w:rPr>
          <w:rFonts w:hint="eastAsia" w:cs="Arial" w:asciiTheme="minorEastAsia" w:hAnsiTheme="minorEastAsia" w:eastAsiaTheme="minorEastAsia"/>
          <w:sz w:val="24"/>
        </w:rPr>
        <w:t>基金份额发售公告、《基金合同》生效公告、基金净值信息、基金份额申购、赎回价格、基金定期报告（包括基金年度报告、基金中期报告和基金季度报告）、临时报告、澄清公告、基金份额持有人大会决议、投资基金份额的信息披露、投资存托凭证的信息披露、投资资产支持证券的信息披露、投资港股通标的证券相关公告、清算报告、实施侧袋机制期间的信息披露、中国证监会规定的其他信息。基金年度报告中的财务会计报告需经符合《证券法》规定的会计师事务所审计后，方可披露。</w:t>
      </w:r>
      <w:bookmarkEnd w:id="94"/>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（三）基金托管人和基金管理人在信息披露中的职责和信息披露程序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1.职责</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托管人和基金管理人在信息披露过程中应以保护基金份额持有人利益为宗旨，诚实信用，严守秘密。基金管理人负责办理与基金有关的信息披露事宜，基金托管人应当按照相关法律法规和《基金合同》的约定，对于本章第（二）条规定的应由基金托管人复核的事项进行复核，基金托管人复核无误后，由基金管理人予以公布。</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对于不需要基金托管人复核的信息，基金管理人在公告前应告知基金托管人。</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基金管理人和基金托管人应积极配合、互相监督，保证其履行按照法定方式和限时披露的义务。</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基金管理人应当在中国证监会规定的时间内，将应予披露的基金信息通过规定媒介披露。根据法律法规应由基金托管人公开披露的信息，基金托管人将通过规定媒介公开披露。</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当出现下述情况时，基金管理人和基金托管人可暂停或延迟披露基金相关信息：</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 xml:space="preserve">（1）不可抗力； </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（2）基金投资所涉及的证券交易市场、外汇市场遇法定节假日或因其他原因暂停营业时；</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（3）发生暂停估值的情形；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（4）法律法规、中国证监会规定或基金合同约定的其他情形。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2.程序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按有关规定须经基金托管人复核的信息披露文件，由基金管理人起草、并经基金托管人复核后由基金管理人公告。发生《基金合同》中规定需要披露的事项时，按《基金合同》规定公布。</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3.信息文本的存放</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依法必须披露的信息发布后，基金管理人、基金托管人应当按照相关法律法规规定将信息置备于各自住所，供社会公众查阅、复制。投资者可以免费查阅。投资者在支付工本费后可在合理时间获得上述文件的复制件或复印件。基金管理人和基金托管人应保证文本的内容与所公告的内容完全一致。</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（四）实施侧袋机制期间的信息披露</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本基金实施侧袋机制的，相关信息披露义务人应当根据法律法规、基金合同和招募说明书的规定进行信息披露，详见招募说明书的规定。</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（五）法律法规或监管部门对适用于本基金的信息披露另有规定的，从其规定。如规定发生变化的，从其最新规定。</w:t>
      </w:r>
    </w:p>
    <w:p>
      <w:pPr>
        <w:pStyle w:val="3"/>
        <w:spacing w:line="480" w:lineRule="exact"/>
        <w:ind w:firstLine="0" w:firstLineChars="0"/>
        <w:rPr>
          <w:rFonts w:cs="Arial" w:asciiTheme="minorEastAsia" w:hAnsiTheme="minorEastAsia" w:eastAsiaTheme="minorEastAsia"/>
          <w:sz w:val="24"/>
        </w:rPr>
      </w:pPr>
    </w:p>
    <w:p>
      <w:pPr>
        <w:widowControl/>
        <w:spacing w:line="480" w:lineRule="exact"/>
        <w:jc w:val="left"/>
        <w:rPr>
          <w:rFonts w:asciiTheme="minorEastAsia" w:hAnsiTheme="minorEastAsia" w:eastAsiaTheme="minorEastAsia"/>
          <w:b/>
          <w:sz w:val="30"/>
          <w:szCs w:val="20"/>
        </w:rPr>
      </w:pPr>
      <w:bookmarkStart w:id="95" w:name="_Toc124325895"/>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十一、基金费用</w:t>
      </w:r>
      <w:bookmarkEnd w:id="95"/>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（一）基金管理费的计提比例和计提方法</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1、基金管理人的管理费</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本基金投资于本基金管理人所管理的公开募集证券投资基金的部分不收取管理费。</w:t>
      </w:r>
      <w:r>
        <w:rPr>
          <w:rFonts w:cs="Arial" w:asciiTheme="minorEastAsia" w:hAnsiTheme="minorEastAsia" w:eastAsiaTheme="minorEastAsia"/>
          <w:sz w:val="24"/>
        </w:rPr>
        <w:t>本基金的管理费按前一日基金资产净值</w:t>
      </w:r>
      <w:r>
        <w:rPr>
          <w:rFonts w:hint="eastAsia" w:cs="Arial" w:asciiTheme="minorEastAsia" w:hAnsiTheme="minorEastAsia" w:eastAsiaTheme="minorEastAsia"/>
          <w:sz w:val="24"/>
        </w:rPr>
        <w:t>扣除本基金持有的基金管理人自身管理的其他公开募集证券投资基金部分公允</w:t>
      </w:r>
      <w:r>
        <w:rPr>
          <w:rFonts w:cs="Arial" w:asciiTheme="minorEastAsia" w:hAnsiTheme="minorEastAsia" w:eastAsiaTheme="minorEastAsia"/>
          <w:sz w:val="24"/>
        </w:rPr>
        <w:t>价值</w:t>
      </w:r>
      <w:r>
        <w:rPr>
          <w:rFonts w:hint="eastAsia" w:cs="Arial" w:asciiTheme="minorEastAsia" w:hAnsiTheme="minorEastAsia" w:eastAsiaTheme="minorEastAsia"/>
          <w:sz w:val="24"/>
        </w:rPr>
        <w:t>后的余额（若为负数，则取0）</w:t>
      </w:r>
      <w:r>
        <w:rPr>
          <w:rFonts w:cs="Arial" w:asciiTheme="minorEastAsia" w:hAnsiTheme="minorEastAsia" w:eastAsiaTheme="minorEastAsia"/>
          <w:sz w:val="24"/>
        </w:rPr>
        <w:t>的0.40%年费率计提。管理费的计算方法如下：</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H＝E×0.40%÷当年天数</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H为每日应计提的基金管理费</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E为前一日的基金资产净值中扣除本基金持有的基金管理人自身管理的其他</w:t>
      </w:r>
      <w:r>
        <w:rPr>
          <w:rFonts w:hint="eastAsia" w:cs="Arial" w:asciiTheme="minorEastAsia" w:hAnsiTheme="minorEastAsia" w:eastAsiaTheme="minorEastAsia"/>
          <w:sz w:val="24"/>
        </w:rPr>
        <w:t>公开募集证券投资</w:t>
      </w:r>
      <w:r>
        <w:rPr>
          <w:rFonts w:cs="Arial" w:asciiTheme="minorEastAsia" w:hAnsiTheme="minorEastAsia" w:eastAsiaTheme="minorEastAsia"/>
          <w:sz w:val="24"/>
        </w:rPr>
        <w:t>基金部分</w:t>
      </w:r>
      <w:r>
        <w:rPr>
          <w:rFonts w:hint="eastAsia" w:cs="Arial" w:asciiTheme="minorEastAsia" w:hAnsiTheme="minorEastAsia" w:eastAsiaTheme="minorEastAsia"/>
          <w:sz w:val="24"/>
        </w:rPr>
        <w:t>公允价值后的余额（若为负数，则取0）</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（二）基金托管费的计提比例和计提方法</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本基金投资于本基金托管人所托管的公开募集证券投资基金的部分不收取托管费。</w:t>
      </w:r>
      <w:r>
        <w:rPr>
          <w:rFonts w:cs="Arial" w:asciiTheme="minorEastAsia" w:hAnsiTheme="minorEastAsia" w:eastAsiaTheme="minorEastAsia"/>
          <w:sz w:val="24"/>
        </w:rPr>
        <w:t>本基金的托管费按前一日基金资产净值</w:t>
      </w:r>
      <w:r>
        <w:rPr>
          <w:rFonts w:hint="eastAsia" w:cs="Arial" w:asciiTheme="minorEastAsia" w:hAnsiTheme="minorEastAsia" w:eastAsiaTheme="minorEastAsia"/>
          <w:sz w:val="24"/>
        </w:rPr>
        <w:t>扣除本基金持有的本基金托管人所托管公开募集证券投资基金部分公允价值后的余额（若为负数，则取0）</w:t>
      </w:r>
      <w:r>
        <w:rPr>
          <w:rFonts w:cs="Arial" w:asciiTheme="minorEastAsia" w:hAnsiTheme="minorEastAsia" w:eastAsiaTheme="minorEastAsia"/>
          <w:sz w:val="24"/>
        </w:rPr>
        <w:t>的0.10%的年费率计提。托管费的计算方法如下：</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H＝E×0.10%÷当年天数</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H为每日应计提的基金托管费</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E为前一日的基金资产净值中扣除本基金持有的基金托管人自身托管的其他</w:t>
      </w:r>
      <w:r>
        <w:rPr>
          <w:rFonts w:hint="eastAsia" w:cs="Arial" w:asciiTheme="minorEastAsia" w:hAnsiTheme="minorEastAsia" w:eastAsiaTheme="minorEastAsia"/>
          <w:sz w:val="24"/>
        </w:rPr>
        <w:t>公开募集证券投资</w:t>
      </w:r>
      <w:r>
        <w:rPr>
          <w:rFonts w:cs="Arial" w:asciiTheme="minorEastAsia" w:hAnsiTheme="minorEastAsia" w:eastAsiaTheme="minorEastAsia"/>
          <w:sz w:val="24"/>
        </w:rPr>
        <w:t>基金部分</w:t>
      </w:r>
      <w:r>
        <w:rPr>
          <w:rFonts w:hint="eastAsia" w:cs="Arial" w:asciiTheme="minorEastAsia" w:hAnsiTheme="minorEastAsia" w:eastAsiaTheme="minorEastAsia"/>
          <w:sz w:val="24"/>
        </w:rPr>
        <w:t>公允价值后的余额（若为负数，则取0）</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（三）销售服务费的计提比例和计提方法</w:t>
      </w:r>
    </w:p>
    <w:p>
      <w:pPr>
        <w:adjustRightInd w:val="0"/>
        <w:snapToGrid w:val="0"/>
        <w:spacing w:line="480" w:lineRule="exact"/>
        <w:ind w:firstLine="480" w:firstLineChars="200"/>
        <w:rPr>
          <w:rFonts w:cs="Arial" w:asciiTheme="minorEastAsia" w:hAnsiTheme="minorEastAsia" w:eastAsiaTheme="minorEastAsia"/>
          <w:sz w:val="24"/>
        </w:rPr>
      </w:pPr>
      <w:bookmarkStart w:id="96" w:name="OLE_LINK25"/>
      <w:r>
        <w:rPr>
          <w:rFonts w:hint="eastAsia" w:cs="Arial" w:asciiTheme="minorEastAsia" w:hAnsiTheme="minorEastAsia" w:eastAsiaTheme="minorEastAsia"/>
          <w:sz w:val="24"/>
        </w:rPr>
        <w:t>本基金A类基金份额不收取销售服务费，C类基金份额的销售服务费年费率为</w:t>
      </w:r>
      <w:r>
        <w:rPr>
          <w:rFonts w:cs="Arial" w:asciiTheme="minorEastAsia" w:hAnsiTheme="minorEastAsia" w:eastAsiaTheme="minorEastAsia"/>
          <w:sz w:val="24"/>
        </w:rPr>
        <w:t>0.30%</w:t>
      </w:r>
      <w:r>
        <w:rPr>
          <w:rFonts w:hint="eastAsia" w:cs="Arial" w:asciiTheme="minorEastAsia" w:hAnsiTheme="minorEastAsia" w:eastAsiaTheme="minorEastAsia"/>
          <w:sz w:val="24"/>
        </w:rPr>
        <w:t>。本基金销售服务费按前一日</w:t>
      </w:r>
      <w:r>
        <w:rPr>
          <w:rFonts w:cs="Arial" w:asciiTheme="minorEastAsia" w:hAnsiTheme="minorEastAsia" w:eastAsiaTheme="minorEastAsia"/>
          <w:sz w:val="24"/>
        </w:rPr>
        <w:t>C</w:t>
      </w:r>
      <w:r>
        <w:rPr>
          <w:rFonts w:hint="eastAsia" w:cs="Arial" w:asciiTheme="minorEastAsia" w:hAnsiTheme="minorEastAsia" w:eastAsiaTheme="minorEastAsia"/>
          <w:sz w:val="24"/>
        </w:rPr>
        <w:t>类基金份额资产净值的</w:t>
      </w:r>
      <w:r>
        <w:rPr>
          <w:rFonts w:cs="Arial" w:asciiTheme="minorEastAsia" w:hAnsiTheme="minorEastAsia" w:eastAsiaTheme="minorEastAsia"/>
          <w:sz w:val="24"/>
        </w:rPr>
        <w:t>0.30%</w:t>
      </w:r>
      <w:r>
        <w:rPr>
          <w:rFonts w:hint="eastAsia" w:cs="Arial" w:asciiTheme="minorEastAsia" w:hAnsiTheme="minorEastAsia" w:eastAsiaTheme="minorEastAsia"/>
          <w:sz w:val="24"/>
        </w:rPr>
        <w:t>年费率计提。计算方法如下：</w:t>
      </w:r>
    </w:p>
    <w:bookmarkEnd w:id="96"/>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H</w:t>
      </w:r>
      <w:r>
        <w:rPr>
          <w:rFonts w:hint="eastAsia" w:cs="Arial" w:asciiTheme="minorEastAsia" w:hAnsiTheme="minorEastAsia" w:eastAsiaTheme="minorEastAsia"/>
          <w:sz w:val="24"/>
        </w:rPr>
        <w:t>＝</w:t>
      </w:r>
      <w:r>
        <w:rPr>
          <w:rFonts w:cs="Arial" w:asciiTheme="minorEastAsia" w:hAnsiTheme="minorEastAsia" w:eastAsiaTheme="minorEastAsia"/>
          <w:sz w:val="24"/>
        </w:rPr>
        <w:t>E</w:t>
      </w:r>
      <w:r>
        <w:rPr>
          <w:rFonts w:hint="eastAsia" w:cs="Arial" w:asciiTheme="minorEastAsia" w:hAnsiTheme="minorEastAsia" w:eastAsiaTheme="minorEastAsia"/>
          <w:sz w:val="24"/>
        </w:rPr>
        <w:t>×年销售服务费率÷当年天数</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H</w:t>
      </w:r>
      <w:r>
        <w:rPr>
          <w:rFonts w:hint="eastAsia" w:cs="Arial" w:asciiTheme="minorEastAsia" w:hAnsiTheme="minorEastAsia" w:eastAsiaTheme="minorEastAsia"/>
          <w:sz w:val="24"/>
        </w:rPr>
        <w:t>为C类基金份额每日应计提的基金销售服务费</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E</w:t>
      </w:r>
      <w:r>
        <w:rPr>
          <w:rFonts w:hint="eastAsia" w:cs="Arial" w:asciiTheme="minorEastAsia" w:hAnsiTheme="minorEastAsia" w:eastAsiaTheme="minorEastAsia"/>
          <w:sz w:val="24"/>
        </w:rPr>
        <w:t>为C类基金份额前一日基金资产净值</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C</w:t>
      </w:r>
      <w:r>
        <w:rPr>
          <w:rFonts w:hint="eastAsia" w:cs="Arial" w:asciiTheme="minorEastAsia" w:hAnsiTheme="minorEastAsia" w:eastAsiaTheme="minorEastAsia"/>
          <w:sz w:val="24"/>
        </w:rPr>
        <w:t>类基金份额的销售服务费计提、具体收取</w:t>
      </w:r>
      <w:r>
        <w:rPr>
          <w:rFonts w:cs="Arial" w:asciiTheme="minorEastAsia" w:hAnsiTheme="minorEastAsia" w:eastAsiaTheme="minorEastAsia"/>
          <w:sz w:val="24"/>
        </w:rPr>
        <w:t>/</w:t>
      </w:r>
      <w:r>
        <w:rPr>
          <w:rFonts w:hint="eastAsia" w:cs="Arial" w:asciiTheme="minorEastAsia" w:hAnsiTheme="minorEastAsia" w:eastAsiaTheme="minorEastAsia"/>
          <w:sz w:val="24"/>
        </w:rPr>
        <w:t>返还方式详见《招募说明书》。</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四）基金相关账户开户费用、基金的银行汇划费用、账户维护费、《基金合同》生效后与基金相关的的信息披露费用（法律法规、中国证监会另有规定的除外）、基金份额持有人大会费用、《基金合同》生效后与基金有关的会计师费、律师费</w:t>
      </w:r>
      <w:r>
        <w:rPr>
          <w:rFonts w:hint="eastAsia" w:cs="Arial" w:asciiTheme="minorEastAsia" w:hAnsiTheme="minorEastAsia" w:eastAsiaTheme="minorEastAsia"/>
          <w:bCs/>
          <w:sz w:val="24"/>
        </w:rPr>
        <w:t>、公证费、</w:t>
      </w:r>
      <w:r>
        <w:rPr>
          <w:rFonts w:cs="Arial" w:asciiTheme="minorEastAsia" w:hAnsiTheme="minorEastAsia" w:eastAsiaTheme="minorEastAsia"/>
          <w:bCs/>
          <w:sz w:val="24"/>
        </w:rPr>
        <w:t>诉讼费</w:t>
      </w:r>
      <w:r>
        <w:rPr>
          <w:rFonts w:hint="eastAsia" w:cs="Arial" w:asciiTheme="minorEastAsia" w:hAnsiTheme="minorEastAsia" w:eastAsiaTheme="minorEastAsia"/>
          <w:bCs/>
          <w:sz w:val="24"/>
        </w:rPr>
        <w:t>、仲裁费、</w:t>
      </w:r>
      <w:r>
        <w:rPr>
          <w:rFonts w:cs="Arial" w:asciiTheme="minorEastAsia" w:hAnsiTheme="minorEastAsia" w:eastAsiaTheme="minorEastAsia"/>
          <w:bCs/>
          <w:sz w:val="24"/>
        </w:rPr>
        <w:t>基金的证券交易费用</w:t>
      </w:r>
      <w:r>
        <w:rPr>
          <w:rFonts w:hint="eastAsia" w:cs="Arial" w:asciiTheme="minorEastAsia" w:hAnsiTheme="minorEastAsia" w:eastAsiaTheme="minorEastAsia"/>
          <w:bCs/>
          <w:sz w:val="24"/>
        </w:rPr>
        <w:t>、因投资港股通标的证券而产生的各项合理费用、基金投资其他基金产生的相关费用（但法律法规禁止从基金财产中列支的除外）</w:t>
      </w:r>
      <w:r>
        <w:rPr>
          <w:rFonts w:hint="eastAsia" w:cs="Arial" w:asciiTheme="minorEastAsia" w:hAnsiTheme="minorEastAsia" w:eastAsiaTheme="minorEastAsia"/>
          <w:sz w:val="24"/>
        </w:rPr>
        <w:t>、《基金合同》及相应协议的规定，列入当期基金费用。</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（五）不列入基金费用的项目</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合同》生效前的律师费、会计师费和信息披露费用不得从基金财产中列支；基金管理人和基金托管人因未履行或未完全履行义务导致的费用支出或基金财产的损失，处理与基金运作无关的事项发生的费用，以及其他根据相关法律法规及中国证监会的有关规定不得列入基金费用的项目。</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（六）基金管理费、基金托管费和销售服务费的复核程序、支付方式和时间</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1.复核程序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基金托管人对基金管理人计提的基金管理费、基金托管费和销售服务费等，根据本托管协议和《基金合同》的有关规定进行复核。</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2.支付方式和时间</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费、基金托管费每日计提，逐日累计至每月月末，按月支付，由基金托管人根据与基金管理人核对一致的财务数据，自动在月初5个工作日内、按照指定的账户路径进行资金支付，基金管理人无需再出具资金划拨指令。若遇法定节假日、公休日</w:t>
      </w:r>
      <w:bookmarkStart w:id="97" w:name="_Hlk193012100"/>
      <w:r>
        <w:rPr>
          <w:rFonts w:hint="eastAsia" w:cs="Arial" w:asciiTheme="minorEastAsia" w:hAnsiTheme="minorEastAsia" w:eastAsiaTheme="minorEastAsia"/>
          <w:sz w:val="24"/>
        </w:rPr>
        <w:t>或不可抗力</w:t>
      </w:r>
      <w:bookmarkEnd w:id="97"/>
      <w:r>
        <w:rPr>
          <w:rFonts w:hint="eastAsia" w:cs="Arial" w:asciiTheme="minorEastAsia" w:hAnsiTheme="minorEastAsia" w:eastAsiaTheme="minorEastAsia"/>
          <w:sz w:val="24"/>
        </w:rPr>
        <w:t>等，支付日期顺延。费用自动扣划后，基金管理人应进行核对，如发现数据不符，及时联系基金托管人协商解决。</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在首期支付基金管理费、销售服务费前，基金管理人应向基金托管人出具正式函件指定基金管理费、销售服务费的收款账户。基金管理人如需要变更此账户，应提前5个工作日向基金托管人出具书面的收款账户变更通知。</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七）基金管理人运用本基金财产申购自身管理的基金的（ETF除外），应当通过直销渠道申购且不得收取申购费、赎回费（按照相关法规、基金招募说明书约定应当收取，并计入基金财产的赎回费用除外）、销售服务费等销售费用。</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（八）违规处理方式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托管人发现基金管理人违反《基金法》、《基金合同》、《运作办法》及其他有关规定从基金财产中列支费用时，基金托管人可要求基金管理人予以说明解释，如基金管理人无正当理由，基金托管人可拒绝支付。</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（九）实施侧袋机制期间的基金费用</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本基金实施侧袋机制的，与侧袋账户有关的费用可以从侧袋账户中列支，但应待侧袋账户资产变现后方可列支，有关费用可酌情收取或减免，但不得收取管理费，详见招募说明书的规定。</w:t>
      </w:r>
    </w:p>
    <w:p>
      <w:pPr>
        <w:adjustRightInd w:val="0"/>
        <w:snapToGrid w:val="0"/>
        <w:spacing w:line="480" w:lineRule="exact"/>
        <w:ind w:firstLine="480" w:firstLineChars="200"/>
        <w:rPr>
          <w:rFonts w:cs="Arial" w:asciiTheme="minorEastAsia" w:hAnsiTheme="minorEastAsia" w:eastAsiaTheme="minorEastAsia"/>
          <w:sz w:val="24"/>
        </w:rPr>
      </w:pPr>
    </w:p>
    <w:p>
      <w:pPr>
        <w:widowControl/>
        <w:spacing w:line="480" w:lineRule="exact"/>
        <w:jc w:val="left"/>
        <w:rPr>
          <w:rFonts w:asciiTheme="minorEastAsia" w:hAnsiTheme="minorEastAsia" w:eastAsiaTheme="minorEastAsia"/>
          <w:b/>
          <w:sz w:val="30"/>
          <w:szCs w:val="20"/>
        </w:rPr>
      </w:pPr>
      <w:bookmarkStart w:id="98" w:name="_Toc124325896"/>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十二、基金份额持有人名册的保管</w:t>
      </w:r>
      <w:bookmarkEnd w:id="98"/>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法律法规规定的最低年限。如不能妥善保管，则按相关法规承担责任。</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在基金托管人要求或编制中期报告和年度报告前，基金管理人应将有关资料送交基金托管人，不得无故拒绝或延误提供，并保证其真实性、准确性和完整性。</w:t>
      </w:r>
      <w:r>
        <w:rPr>
          <w:rFonts w:hint="eastAsia" w:asciiTheme="minorEastAsia" w:hAnsiTheme="minorEastAsia" w:eastAsiaTheme="minorEastAsia"/>
          <w:kern w:val="0"/>
          <w:sz w:val="24"/>
        </w:rPr>
        <w:t>基金托管人不得将所保管的基金份额持有人名册用于基金托管业务以外的其他用途，并应遵守保密义务。</w:t>
      </w:r>
    </w:p>
    <w:p>
      <w:pPr>
        <w:adjustRightInd w:val="0"/>
        <w:snapToGrid w:val="0"/>
        <w:spacing w:line="480" w:lineRule="exact"/>
        <w:rPr>
          <w:rFonts w:cs="Arial" w:asciiTheme="minorEastAsia" w:hAnsiTheme="minorEastAsia" w:eastAsiaTheme="minorEastAsia"/>
          <w:sz w:val="24"/>
        </w:rPr>
      </w:pPr>
    </w:p>
    <w:p>
      <w:pPr>
        <w:widowControl/>
        <w:spacing w:line="480" w:lineRule="exact"/>
        <w:jc w:val="left"/>
        <w:rPr>
          <w:rFonts w:asciiTheme="minorEastAsia" w:hAnsiTheme="minorEastAsia" w:eastAsiaTheme="minorEastAsia"/>
          <w:b/>
          <w:sz w:val="30"/>
          <w:szCs w:val="20"/>
        </w:rPr>
      </w:pPr>
      <w:bookmarkStart w:id="99" w:name="_Toc124325897"/>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十三、基金有关文件档案的保存</w:t>
      </w:r>
      <w:bookmarkEnd w:id="99"/>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（一）档案保存</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管理人应保存基金财产管理业务活动的记录、账册、报表和其他相关资料。基金托管人应保存基金托管业务活动的记录、账册、报表和其他相关资料。基金管理人和基金托管人都应当按规定的期限保管。保存期限不少于法律法规规定</w:t>
      </w:r>
      <w:r>
        <w:rPr>
          <w:rFonts w:cs="Arial" w:asciiTheme="minorEastAsia" w:hAnsiTheme="minorEastAsia" w:eastAsiaTheme="minorEastAsia"/>
          <w:sz w:val="24"/>
        </w:rPr>
        <w:t>的最低年限</w:t>
      </w:r>
      <w:r>
        <w:rPr>
          <w:rFonts w:hint="eastAsia" w:cs="Arial" w:asciiTheme="minorEastAsia" w:hAnsiTheme="minorEastAsia" w:eastAsiaTheme="minorEastAsia"/>
          <w:sz w:val="24"/>
        </w:rPr>
        <w:t>。</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（二）合同档案的建立</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1.基金管理人签署重大合同文本后，应及时将合同文本正本送达基金托管人处。</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2.基金管理人应及时将与本基金账务处理、资金划拨等有关的合同、协议传真基金托管人。</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（三）变更与协助</w:t>
      </w:r>
    </w:p>
    <w:p>
      <w:pPr>
        <w:adjustRightInd w:val="0"/>
        <w:snapToGrid w:val="0"/>
        <w:spacing w:line="480" w:lineRule="exact"/>
        <w:ind w:firstLine="480" w:firstLineChars="200"/>
        <w:rPr>
          <w:rFonts w:asciiTheme="minorEastAsia" w:hAnsiTheme="minorEastAsia" w:eastAsiaTheme="minorEastAsia"/>
          <w:b/>
          <w:bCs/>
          <w:sz w:val="30"/>
          <w:szCs w:val="30"/>
        </w:rPr>
      </w:pPr>
      <w:r>
        <w:rPr>
          <w:rFonts w:hint="eastAsia" w:cs="Arial" w:asciiTheme="minorEastAsia" w:hAnsiTheme="minorEastAsia" w:eastAsiaTheme="minorEastAsia"/>
          <w:sz w:val="24"/>
        </w:rPr>
        <w:t>若基金管理人/基金托管人发生变更，未变更的一方有义务协助变更后的接任人接收相应文件。</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（四）基金管理人和基金托管人应按各自职责完整保存原始凭证、记账凭证、基金账册、交易记录和重要合同等，承担保密义务，保存期限不少于法律法规规定</w:t>
      </w:r>
      <w:r>
        <w:rPr>
          <w:rFonts w:cs="Arial" w:asciiTheme="minorEastAsia" w:hAnsiTheme="minorEastAsia" w:eastAsiaTheme="minorEastAsia"/>
          <w:sz w:val="24"/>
        </w:rPr>
        <w:t>的最低年限</w:t>
      </w:r>
      <w:r>
        <w:rPr>
          <w:rFonts w:hint="eastAsia" w:cs="Arial" w:asciiTheme="minorEastAsia" w:hAnsiTheme="minorEastAsia" w:eastAsiaTheme="minorEastAsia"/>
          <w:sz w:val="24"/>
        </w:rPr>
        <w:t>。</w:t>
      </w:r>
    </w:p>
    <w:p>
      <w:pPr>
        <w:adjustRightInd w:val="0"/>
        <w:snapToGrid w:val="0"/>
        <w:spacing w:line="480" w:lineRule="exact"/>
        <w:rPr>
          <w:rFonts w:asciiTheme="minorEastAsia" w:hAnsiTheme="minorEastAsia" w:eastAsiaTheme="minorEastAsia"/>
          <w:sz w:val="30"/>
          <w:szCs w:val="30"/>
        </w:rPr>
      </w:pPr>
    </w:p>
    <w:p>
      <w:pPr>
        <w:widowControl/>
        <w:spacing w:line="480" w:lineRule="exact"/>
        <w:jc w:val="left"/>
        <w:rPr>
          <w:rFonts w:asciiTheme="minorEastAsia" w:hAnsiTheme="minorEastAsia" w:eastAsiaTheme="minorEastAsia"/>
          <w:b/>
          <w:sz w:val="30"/>
          <w:szCs w:val="20"/>
        </w:rPr>
      </w:pPr>
      <w:bookmarkStart w:id="100" w:name="_Toc124325898"/>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十四、基金管理人和基金托管人的更换</w:t>
      </w:r>
      <w:bookmarkEnd w:id="100"/>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（一）基金管理人职责终止的情形及更换程序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1.基金管理人职责终止的情形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有下列情形之一的，基金管理人职责终止：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（1）被依法取消基金管理资格；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（2）被基金份额持有人大会解任；</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（3）依法解散、被依法撤销或被依法宣告破产；</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（4）法律法规及中国证监会规定的和《基金合同》约定的其他情形。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2.基金管理人的更换程序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更换基金管理人必须依照如下程序进行：</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（1）提名：新任基金管理人由基金托管人或由单独或合计持有10%以上（含10%）基金份额的基金份额持有人提名；</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（3）临时基金管理人：新任基金管理人产生之前，由中国证监会指定临时基金管理人；</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（4）备案：基金份额持有人大会更换基金管理人的决议须报中国证监会备案；</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（5）公告：基金管理人更换后，由基金托管人在更换基金管理人的基金份额持有人大会决议生效后2日内在规定媒介公告；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6）交接：基金管理人职责终止的，基金管理人应妥善保管基金管理业务资料，及时向临时基金管理人或新任基金管理人办理基金管理业务的移交手续，临时基金管理人或新任基金管理人应及时接收。临时基金管理人或新任基金管理人应与基金托管人核对基金资产总值和基金资产净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（7）审计：基金管理人职责终止的，应当按照法律法规规定聘请符合《证券法》规定的会计师事务所对基金财产进行审计，并将审计结果予以公告，同时报中国证监会备案，审计费用从基金财产中列支；</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（8）基金名称变更：基金管理人更换后，如果原任或新任基金管理人要求，应按其要求替换或删除基金名称中与原任基金管理人有关的名称字样。</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（二）基金托管人职责终止的情形及更换程序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1.基金托管人职责终止的情形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有下列情形之一的，基金托管人职责终止：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（1）被依法取消基金托管资格；</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（2）被基金份额持有人大会解任；</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（3）依法解散、被依法撤销或被依法宣告破产；</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（4）法律法规及中国证监会规定的和《基金合同》约定的其他情形。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2.基金托管人的更换程序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（1）提名：新任基金托管人由基金管理人或由单独或合计持有10%以上（含10%）基金份额的基金份额持有人提名；</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决议：基金份额持有人大会在基金托管人职责终止后6个月内对被提名的基金托管人形成决议，该决议需经参加大会的基金份额持有人所持表决权的三分之二以上（含三分之二）表决通过，决议自表决通过之日起生效；</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（3）临时基金托管人：新任基金托管人产生之前，由中国证监会指定临时基金托管人；</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（4）备案：基金份额持有人大会更换基金托管人的决议须报中国证监会备案；</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（5）公告：基金托管人更换后，由基金管理人在更换基金托管人的基金份额持有人大会决议生效后2日内在规定媒介公告；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 xml:space="preserve">（6）交接：基金托管人职责终止的，应当妥善保管基金财产和基金托管业务资料，及时办理基金财产和基金托管业务的移交手续，新任基金托管人或者临时基金托管人应当及时接收。临时基金托管人或新任基金托管人应与基金管理人核对基金资产总值和基金资产净值； </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（7）审计：基金托管人职责终止的，应当按照法律法规规定聘请符合《证券法》规定的会计师事务所对基金财产进行审计，并将审计结果予以公告，同时报中国证监会备案，审计费用从基金财产中列支。</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（三）基金管理人与基金托管人同时更换的条件和程序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1、提名：如果基金管理人和基金托管人同时更换，由单独或合计持有基金总份额10%以上（含10%）的基金份额持有人提名新的基金管理人和基金托管人；</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2、基金管理人和基金托管人的更换分别按上述程序进行；</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3、公告：新任或临时基金管理人和新任或临时基金托管人应在更换基金管理人和基金托管人的基金份额持有人大会决议生效后2日内在规定媒介上联合公告。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四）新任或临时基金管理人接收基金管理业务或新任或临时基金托管人接收基金财产和基金托管业务前，原任基金管理人或基金托管人应依据法律法规和《基金合同》的规定继续履行相关职责，并保证不对基金份额持有人的利益造成损害。原任基金管理人或基金托管人在继续履行相关职责期间，仍有权按照基金合同的规定收取基金管理费或基金托管费。</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五）本部分关于基金管理人、基金托管人更换条件和程序的约定，凡是直接引用法律法规或监管规则的部分，如将来法律法规或监管规则修改导致相关内容被取消或变更的，基金管理人与基金托管人根据新颁布的法律法规或监管规则协商一致并提前公告后，可直接对相应内容进行修改和调整，无需召开基金份额持有人大会审议。</w:t>
      </w:r>
    </w:p>
    <w:p>
      <w:pPr>
        <w:widowControl/>
        <w:spacing w:line="480" w:lineRule="exact"/>
        <w:jc w:val="left"/>
        <w:rPr>
          <w:rFonts w:asciiTheme="minorEastAsia" w:hAnsiTheme="minorEastAsia" w:eastAsiaTheme="minorEastAsia"/>
          <w:b/>
          <w:sz w:val="30"/>
          <w:szCs w:val="20"/>
        </w:rPr>
      </w:pPr>
      <w:bookmarkStart w:id="101" w:name="_Toc124325899"/>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十五、禁止行为</w:t>
      </w:r>
      <w:bookmarkEnd w:id="101"/>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本协议当事人禁止从事的行为，包括但不限于：</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（一）基金管理人、基金托管人将其固有财产或者他人财产混同于基金财产从事证券投资。</w:t>
      </w:r>
    </w:p>
    <w:p>
      <w:pPr>
        <w:adjustRightInd w:val="0"/>
        <w:snapToGrid w:val="0"/>
        <w:spacing w:line="480" w:lineRule="exact"/>
        <w:ind w:firstLine="480" w:firstLineChars="200"/>
        <w:rPr>
          <w:rFonts w:asciiTheme="minorEastAsia" w:hAnsiTheme="minorEastAsia" w:eastAsiaTheme="minorEastAsia"/>
        </w:rPr>
      </w:pPr>
      <w:r>
        <w:rPr>
          <w:rFonts w:hint="eastAsia" w:asciiTheme="minorEastAsia" w:hAnsiTheme="minorEastAsia" w:eastAsiaTheme="minorEastAsia"/>
          <w:sz w:val="24"/>
        </w:rPr>
        <w:t>（二）基金管理人不公平地对待其管理的不同基金财产，基金托管人不公平地对待其托管的不同基金财产。</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（三）基金管理人、基金托管人利用基金财产为基金份额持有人以外的第三人牟取利益。</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（四）基金管理人、基金托管人向基金份额持有人违规承诺收益或者承担损失。</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（五）基金管理人、基金托管人对他人泄露基金运作和管理过程中任何尚未按法律法规规定的方式公开披露的信息。</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（六）基金管理人在没有充足资金的情况下向基金托管人发出投资指令和赎回、分红资金的划拨指令，或违规向基金托管人发出指令。</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（七）基金管理人、基金托管人在行政上、财务上不独立, 其高级管理人员和其他从业人员相互兼职。</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（八）基金托管人私自动用或处分基金财产，根据基金管理人的合法指令、《基金合同》或托管协议的规定进行处分的除外。</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（九）基金财产用于下列投资或者活动：1.承销证券；2.违反规定向他人贷款或者提供担保；3.从事承担无限责任的投资；4.向其基金管理人、基金托管人出资；</w:t>
      </w:r>
      <w:r>
        <w:rPr>
          <w:rFonts w:asciiTheme="minorEastAsia" w:hAnsiTheme="minorEastAsia" w:eastAsiaTheme="minorEastAsia"/>
          <w:sz w:val="24"/>
        </w:rPr>
        <w:t>5</w:t>
      </w:r>
      <w:r>
        <w:rPr>
          <w:rFonts w:hint="eastAsia" w:asciiTheme="minorEastAsia" w:hAnsiTheme="minorEastAsia" w:eastAsiaTheme="minorEastAsia"/>
          <w:sz w:val="24"/>
        </w:rPr>
        <w:t>.从事内幕交易、操纵证券交易价格及其他不正当的证券交易活动；6</w:t>
      </w:r>
      <w:r>
        <w:rPr>
          <w:rFonts w:asciiTheme="minorEastAsia" w:hAnsiTheme="minorEastAsia" w:eastAsiaTheme="minorEastAsia"/>
          <w:sz w:val="24"/>
        </w:rPr>
        <w:t>.</w:t>
      </w:r>
      <w:r>
        <w:rPr>
          <w:rFonts w:hint="eastAsia" w:asciiTheme="minorEastAsia" w:hAnsiTheme="minorEastAsia" w:eastAsiaTheme="minorEastAsia"/>
          <w:sz w:val="24"/>
        </w:rPr>
        <w:t>持有具有复杂、衍生品性质的基金份额，包括分级基金和中国证监会认定的其他基金份额；</w:t>
      </w:r>
      <w:r>
        <w:rPr>
          <w:rFonts w:asciiTheme="minorEastAsia" w:hAnsiTheme="minorEastAsia" w:eastAsiaTheme="minorEastAsia"/>
          <w:sz w:val="24"/>
        </w:rPr>
        <w:t>7</w:t>
      </w:r>
      <w:r>
        <w:rPr>
          <w:rFonts w:hint="eastAsia" w:asciiTheme="minorEastAsia" w:hAnsiTheme="minorEastAsia" w:eastAsiaTheme="minorEastAsia"/>
          <w:sz w:val="24"/>
        </w:rPr>
        <w:t>.依照法律、行政法规有关规定，由中国证监会规定禁止的其他活动。法律法规或监管部门取消</w:t>
      </w:r>
      <w:r>
        <w:rPr>
          <w:rFonts w:hint="eastAsia" w:asciiTheme="minorEastAsia" w:hAnsiTheme="minorEastAsia" w:eastAsiaTheme="minorEastAsia"/>
          <w:bCs/>
          <w:sz w:val="24"/>
        </w:rPr>
        <w:t>或变更</w:t>
      </w:r>
      <w:r>
        <w:rPr>
          <w:rFonts w:hint="eastAsia" w:asciiTheme="minorEastAsia" w:hAnsiTheme="minorEastAsia" w:eastAsiaTheme="minorEastAsia"/>
          <w:sz w:val="24"/>
        </w:rPr>
        <w:t>上述限制，如适用于本基金，基金管理人在履行适当程序后，则本基金投资不再受相关限制</w:t>
      </w:r>
      <w:r>
        <w:rPr>
          <w:rFonts w:hint="eastAsia" w:asciiTheme="minorEastAsia" w:hAnsiTheme="minorEastAsia" w:eastAsiaTheme="minorEastAsia"/>
          <w:bCs/>
          <w:sz w:val="24"/>
        </w:rPr>
        <w:t>或按变更后的规定执行</w:t>
      </w:r>
      <w:r>
        <w:rPr>
          <w:rFonts w:hint="eastAsia" w:asciiTheme="minorEastAsia" w:hAnsiTheme="minorEastAsia" w:eastAsiaTheme="minorEastAsia"/>
          <w:sz w:val="24"/>
        </w:rPr>
        <w:t>。</w:t>
      </w:r>
    </w:p>
    <w:p>
      <w:pPr>
        <w:adjustRightInd w:val="0"/>
        <w:snapToGrid w:val="0"/>
        <w:spacing w:line="480" w:lineRule="exact"/>
        <w:ind w:firstLine="480" w:firstLineChars="200"/>
        <w:rPr>
          <w:rFonts w:asciiTheme="minorEastAsia" w:hAnsiTheme="minorEastAsia" w:eastAsiaTheme="minorEastAsia"/>
          <w:sz w:val="24"/>
        </w:rPr>
      </w:pPr>
      <w:r>
        <w:rPr>
          <w:rFonts w:hint="eastAsia" w:asciiTheme="minorEastAsia" w:hAnsiTheme="minorEastAsia" w:eastAsiaTheme="minorEastAsia"/>
          <w:sz w:val="24"/>
        </w:rPr>
        <w:t>（十）法律法规和《基金合同》禁止的其他行为，以及依照法律、行政法规有关规定，由中国证监会规定禁止基金管理人、基金托管人从事的其他行为。</w:t>
      </w:r>
    </w:p>
    <w:p>
      <w:pPr>
        <w:adjustRightInd w:val="0"/>
        <w:snapToGrid w:val="0"/>
        <w:spacing w:line="480" w:lineRule="exact"/>
        <w:rPr>
          <w:rFonts w:asciiTheme="minorEastAsia" w:hAnsiTheme="minorEastAsia" w:eastAsiaTheme="minorEastAsia"/>
          <w:sz w:val="30"/>
          <w:szCs w:val="30"/>
        </w:rPr>
      </w:pPr>
    </w:p>
    <w:p>
      <w:pPr>
        <w:widowControl/>
        <w:spacing w:line="480" w:lineRule="exact"/>
        <w:jc w:val="left"/>
        <w:rPr>
          <w:rFonts w:asciiTheme="minorEastAsia" w:hAnsiTheme="minorEastAsia" w:eastAsiaTheme="minorEastAsia"/>
          <w:b/>
          <w:sz w:val="30"/>
          <w:szCs w:val="20"/>
        </w:rPr>
      </w:pPr>
      <w:bookmarkStart w:id="102" w:name="_Toc124325900"/>
      <w:bookmarkStart w:id="103" w:name="_Hlk193011875"/>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十六、托管协议的变更、终止与基金财产的清算</w:t>
      </w:r>
      <w:bookmarkEnd w:id="102"/>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（一）托管协议的变更程序</w:t>
      </w:r>
    </w:p>
    <w:p>
      <w:pPr>
        <w:adjustRightInd w:val="0"/>
        <w:snapToGrid w:val="0"/>
        <w:spacing w:line="480" w:lineRule="exact"/>
        <w:ind w:firstLine="480" w:firstLineChars="200"/>
        <w:rPr>
          <w:rFonts w:asciiTheme="minorEastAsia" w:hAnsiTheme="minorEastAsia" w:eastAsiaTheme="minorEastAsia"/>
          <w:sz w:val="30"/>
          <w:szCs w:val="30"/>
        </w:rPr>
      </w:pPr>
      <w:r>
        <w:rPr>
          <w:rFonts w:hint="eastAsia" w:cs="Arial" w:asciiTheme="minorEastAsia" w:hAnsiTheme="minorEastAsia" w:eastAsiaTheme="minorEastAsia"/>
          <w:sz w:val="24"/>
        </w:rPr>
        <w:t>本协议双方当事人经协商一致，可以对协议进行修改。修改后的新协议，其内容不得与《基金合同》的规定有任何冲突。</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（二）基金托管协议终止的情形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1.《基金合同》终止；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2.基金托管人解散、依法被撤销、破产或由其他基金托管人接管基金资产；</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3.基金管理人解散、依法被撤销、破产或由其他基金管理人接管基金管理业务；</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4.发生法律法规、中国证监会或《基金合同》规定的终止事项。</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（三）基金财产的清算</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1、基金财产清算小组：自出现《基金合同》终止事由之日起30个工作日内成立基金财产清算小组，基金管理人组织基金财产清算小组并在中国证监会的监督下进行基金清算。</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2、基金财产清算小组组成：基金财产清算小组成员由基金管理人、基金托管人、符合《证券法》规定的注册会计师、律师以及中国证监会指定的人员组成。基金财产清算小组可以聘用必要的工作人员。</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3、基金财产清算小组职责：基金财产清算小组负责基金财产的保管、清理、估价、变现和分配。基金财产清算小组可以依法进行必要的民事活动。</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4、基金财产清算程序：</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（1）《基金合同》终止情形出现时，由基金财产清算小组统一接管基金财产；</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（2）对基金财产和债权债务进行清理和确认；</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（3）对基金财产进行估值和变现；</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（4）制作清算报告；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（5）聘请符合《证券法》规定的会计师事务所对清算报告进行外部审计，聘请律师事务所对清算报告出具法律意见书；</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（6）将清算报告报中国证监会备案并公告；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（7）对基金剩余财产进行分配。</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5、基金财产清算的期限为6个月，但因本基金所持证券的流动性受到限制而不能及时变现的，清算期限相应顺延。</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6、基金管理人与基金托管人协商一致或基金财产清算小组认为有对基金份额持有人更为有利的清算方法，本基金财产的清算可按该方法进行，并及时公告，不需召开基金份额持有人大会。相关法律法规或监管部门另有规定的，按相关法律法规或监管部门的要求办理。</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7、清算费用</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清算费用是指基金财产清算小组在进行基金清算过程中发生的所有合理费用，清算费用由基金财产清算小组优先从基金财产中支付。</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8</w:t>
      </w:r>
      <w:r>
        <w:rPr>
          <w:rFonts w:hint="eastAsia" w:cs="Arial" w:asciiTheme="minorEastAsia" w:hAnsiTheme="minorEastAsia" w:eastAsiaTheme="minorEastAsia"/>
          <w:sz w:val="24"/>
        </w:rPr>
        <w:t>、基金财产清算剩余资产的分配</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9</w:t>
      </w:r>
      <w:r>
        <w:rPr>
          <w:rFonts w:hint="eastAsia" w:cs="Arial" w:asciiTheme="minorEastAsia" w:hAnsiTheme="minorEastAsia" w:eastAsiaTheme="minorEastAsia"/>
          <w:sz w:val="24"/>
        </w:rPr>
        <w:t>、基金财产清算的公告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清算过程中的有关重大事项须及时公告；基金财产清算报告经符合《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pPr>
        <w:adjustRightInd w:val="0"/>
        <w:snapToGrid w:val="0"/>
        <w:spacing w:line="480" w:lineRule="exact"/>
        <w:ind w:firstLine="480" w:firstLineChars="200"/>
        <w:rPr>
          <w:rFonts w:cs="Arial" w:asciiTheme="minorEastAsia" w:hAnsiTheme="minorEastAsia" w:eastAsiaTheme="minorEastAsia"/>
          <w:sz w:val="24"/>
        </w:rPr>
      </w:pPr>
      <w:r>
        <w:rPr>
          <w:rFonts w:cs="Arial" w:asciiTheme="minorEastAsia" w:hAnsiTheme="minorEastAsia" w:eastAsiaTheme="minorEastAsia"/>
          <w:sz w:val="24"/>
        </w:rPr>
        <w:t>10</w:t>
      </w:r>
      <w:r>
        <w:rPr>
          <w:rFonts w:hint="eastAsia" w:cs="Arial" w:asciiTheme="minorEastAsia" w:hAnsiTheme="minorEastAsia" w:eastAsiaTheme="minorEastAsia"/>
          <w:sz w:val="24"/>
        </w:rPr>
        <w:t>、基金财产清算账册及文件的保存</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基金财产清算账册及有关文件由基金托管人保存不少于法律法规规定的最低年限。</w:t>
      </w:r>
    </w:p>
    <w:p>
      <w:pPr>
        <w:adjustRightInd w:val="0"/>
        <w:snapToGrid w:val="0"/>
        <w:spacing w:line="480" w:lineRule="exact"/>
        <w:rPr>
          <w:rFonts w:cs="Arial" w:asciiTheme="minorEastAsia" w:hAnsiTheme="minorEastAsia" w:eastAsiaTheme="minorEastAsia"/>
          <w:sz w:val="24"/>
        </w:rPr>
      </w:pPr>
    </w:p>
    <w:bookmarkEnd w:id="103"/>
    <w:p>
      <w:pPr>
        <w:widowControl/>
        <w:spacing w:line="480" w:lineRule="exact"/>
        <w:jc w:val="left"/>
        <w:rPr>
          <w:rFonts w:asciiTheme="minorEastAsia" w:hAnsiTheme="minorEastAsia" w:eastAsiaTheme="minorEastAsia"/>
          <w:b/>
          <w:sz w:val="30"/>
          <w:szCs w:val="20"/>
        </w:rPr>
      </w:pPr>
      <w:bookmarkStart w:id="104" w:name="_Toc124325901"/>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十七、违约责任</w:t>
      </w:r>
      <w:bookmarkEnd w:id="104"/>
    </w:p>
    <w:p>
      <w:pPr>
        <w:adjustRightInd w:val="0"/>
        <w:snapToGrid w:val="0"/>
        <w:spacing w:line="480" w:lineRule="exact"/>
        <w:ind w:firstLine="480" w:firstLineChars="200"/>
        <w:outlineLvl w:val="0"/>
        <w:rPr>
          <w:rFonts w:cs="Arial" w:asciiTheme="minorEastAsia" w:hAnsiTheme="minorEastAsia" w:eastAsiaTheme="minorEastAsia"/>
          <w:sz w:val="24"/>
        </w:rPr>
      </w:pPr>
      <w:bookmarkStart w:id="105" w:name="_Hlk193011889"/>
      <w:r>
        <w:rPr>
          <w:rFonts w:hint="eastAsia" w:cs="Arial" w:asciiTheme="minorEastAsia" w:hAnsiTheme="minorEastAsia" w:eastAsiaTheme="minorEastAsia"/>
          <w:sz w:val="24"/>
        </w:rPr>
        <w:t>（一）基金管理人、基金托管人不履行本协议或履行本协议不符合约定的，应当承担违约责任。</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二）基金管理人、基金托管人在履行各自职责的过程中，违反《基金法》等法律法规的规定或者《基金合同》和本托管协议约定，给基金财产或者基金份额持有人造成损害的，应当分别对各自的行为依法承担赔偿责任；因共同行为给基金财产或者基金份额持有人造成损害的，应当承担连带赔偿责任，对损失的赔偿，仅限于直接损失。</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三）一方当事人违约，给另一方当事人造成损失的，应就直接损失进行赔偿；给基金财产造成损失的，应就直接损失进行赔偿，另一方当事人有权利及义务代表基金向违约方追偿。但是如发生下列情况，当事人免责：</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1.不可抗力；</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2. 在没有过错的情况下，基金管理人、基金托管人按照当时有效的法律法规或中国证监会的规定作为或不作为而造成的损失等；</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3.基金管理人由于按照《基金合同》规定的投资原则行使或不行使其投资权而造成的损失等。</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4</w:t>
      </w:r>
      <w:r>
        <w:rPr>
          <w:rFonts w:cs="Arial" w:asciiTheme="minorEastAsia" w:hAnsiTheme="minorEastAsia" w:eastAsiaTheme="minorEastAsia"/>
          <w:sz w:val="24"/>
        </w:rPr>
        <w:t>.</w:t>
      </w:r>
      <w:r>
        <w:rPr>
          <w:rFonts w:hint="eastAsia" w:asciiTheme="minorEastAsia" w:hAnsiTheme="minorEastAsia" w:eastAsiaTheme="minorEastAsia"/>
        </w:rPr>
        <w:t xml:space="preserve"> </w:t>
      </w:r>
      <w:r>
        <w:rPr>
          <w:rFonts w:hint="eastAsia" w:cs="Arial" w:asciiTheme="minorEastAsia" w:hAnsiTheme="minorEastAsia" w:eastAsiaTheme="minorEastAsia"/>
          <w:sz w:val="24"/>
        </w:rPr>
        <w:t>非因基金管理人、基金托管人的故意或重大过失造成的计算机系统故障、网络故障、通讯故障、电力故障、计算机病毒攻击及其它意外事故所导致的损失等。</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四）一方当事人违约，另一方当事人在职责范围内有义务及时采取必要的措施，尽力防止损失的扩大。没有采取适当措施致使损失进一步扩大的，不得就扩大的损失要求赔偿。非违约方因防止损失扩大而支出的合理费用由违约方承担。</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（五）违约行为虽已发生，但本托管协议能够继续履行的，在最大限度地保护基金份额持有人利益的前提下，基金管理人和基金托管人应当继续履行本协议。</w:t>
      </w:r>
    </w:p>
    <w:p>
      <w:pPr>
        <w:adjustRightInd w:val="0"/>
        <w:snapToGrid w:val="0"/>
        <w:spacing w:line="480" w:lineRule="exact"/>
        <w:ind w:firstLine="480" w:firstLineChars="200"/>
        <w:outlineLvl w:val="0"/>
        <w:rPr>
          <w:rFonts w:cs="Arial" w:asciiTheme="minorEastAsia" w:hAnsiTheme="minorEastAsia" w:eastAsiaTheme="minorEastAsia"/>
          <w:sz w:val="24"/>
        </w:rPr>
      </w:pPr>
      <w:r>
        <w:rPr>
          <w:rFonts w:hint="eastAsia" w:cs="Arial" w:asciiTheme="minorEastAsia" w:hAnsiTheme="minorEastAsia" w:eastAsiaTheme="minorEastAsia"/>
          <w:sz w:val="24"/>
        </w:rPr>
        <w:t>（六）由于基金管理人、基金托管人不可控制的因素导致业务出现差错，基金管理人和基金托管人虽然已经采取必要、适当、合理的措施进行检查，但是未能发现错误</w:t>
      </w:r>
      <w:bookmarkStart w:id="106" w:name="_Hlk63238867"/>
      <w:r>
        <w:rPr>
          <w:rFonts w:hint="eastAsia" w:cs="Arial" w:asciiTheme="minorEastAsia" w:hAnsiTheme="minorEastAsia" w:eastAsiaTheme="minorEastAsia"/>
          <w:bCs/>
          <w:sz w:val="24"/>
        </w:rPr>
        <w:t>或因前述原因未能避免或更正错误</w:t>
      </w:r>
      <w:bookmarkEnd w:id="106"/>
      <w:r>
        <w:rPr>
          <w:rFonts w:hint="eastAsia" w:cs="Arial" w:asciiTheme="minorEastAsia" w:hAnsiTheme="minorEastAsia" w:eastAsiaTheme="minorEastAsia"/>
          <w:sz w:val="24"/>
        </w:rPr>
        <w:t>的，由此造成基金财产或投资人损失，基金管理人和基金托管人免除赔偿责任。但是基金管理人和基金托管人应积极采取必要的措施消除或减轻由此造成的影响。</w:t>
      </w:r>
    </w:p>
    <w:bookmarkEnd w:id="105"/>
    <w:p>
      <w:pPr>
        <w:spacing w:line="480" w:lineRule="exact"/>
        <w:rPr>
          <w:rFonts w:asciiTheme="minorEastAsia" w:hAnsiTheme="minorEastAsia" w:eastAsiaTheme="minorEastAsia"/>
        </w:rPr>
      </w:pPr>
    </w:p>
    <w:p>
      <w:pPr>
        <w:widowControl/>
        <w:spacing w:line="480" w:lineRule="exact"/>
        <w:jc w:val="left"/>
        <w:rPr>
          <w:rFonts w:asciiTheme="minorEastAsia" w:hAnsiTheme="minorEastAsia" w:eastAsiaTheme="minorEastAsia"/>
          <w:b/>
          <w:sz w:val="30"/>
          <w:szCs w:val="20"/>
        </w:rPr>
      </w:pPr>
      <w:bookmarkStart w:id="107" w:name="_Toc124325902"/>
      <w:bookmarkStart w:id="108" w:name="OLE_LINK16"/>
      <w:bookmarkStart w:id="109" w:name="OLE_LINK17"/>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十八、争议解决方式</w:t>
      </w:r>
      <w:bookmarkEnd w:id="107"/>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因本协议产生或与之相关的争议，双方当事人应通过协商解决，</w:t>
      </w:r>
      <w:r>
        <w:rPr>
          <w:rFonts w:cs="Arial" w:asciiTheme="minorEastAsia" w:hAnsiTheme="minorEastAsia" w:eastAsiaTheme="minorEastAsia"/>
          <w:sz w:val="24"/>
        </w:rPr>
        <w:t>如经友好协商未能解决的，</w:t>
      </w:r>
      <w:r>
        <w:rPr>
          <w:rFonts w:hint="eastAsia" w:cs="Arial" w:asciiTheme="minorEastAsia" w:hAnsiTheme="minorEastAsia" w:eastAsiaTheme="minorEastAsia"/>
          <w:sz w:val="24"/>
        </w:rPr>
        <w:t>任何一方均有权将争议提交深圳国际仲裁院，按照深圳国际仲裁院届时有效的仲裁规则进行仲裁。仲裁地点为深圳市。仲裁裁决是终局的，对各方当事人均有约束力。除非仲裁裁决另有决定，仲裁费用由败诉方承担。</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争议处理期间，双方当事人应恪守基金管理人和基金托管人职责，各自继续忠实、勤勉、尽责地履行基金合同和本托管协议规定的义务，维护基金份额持有人的合法权益。</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本协议受中国法律（为托管协议之目的，不含港澳台地区有关约定）管辖并从其解释。</w:t>
      </w:r>
    </w:p>
    <w:p>
      <w:pPr>
        <w:adjustRightInd w:val="0"/>
        <w:snapToGrid w:val="0"/>
        <w:spacing w:line="480" w:lineRule="exact"/>
        <w:rPr>
          <w:rFonts w:cs="Arial" w:asciiTheme="minorEastAsia" w:hAnsiTheme="minorEastAsia" w:eastAsiaTheme="minorEastAsia"/>
          <w:sz w:val="24"/>
        </w:rPr>
      </w:pPr>
    </w:p>
    <w:bookmarkEnd w:id="108"/>
    <w:bookmarkEnd w:id="109"/>
    <w:p>
      <w:pPr>
        <w:widowControl/>
        <w:spacing w:line="480" w:lineRule="exact"/>
        <w:jc w:val="left"/>
        <w:rPr>
          <w:rFonts w:asciiTheme="minorEastAsia" w:hAnsiTheme="minorEastAsia" w:eastAsiaTheme="minorEastAsia"/>
          <w:b/>
          <w:sz w:val="30"/>
          <w:szCs w:val="20"/>
        </w:rPr>
      </w:pPr>
      <w:bookmarkStart w:id="110" w:name="_Toc124325903"/>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十九、托管协议的效力</w:t>
      </w:r>
      <w:bookmarkEnd w:id="110"/>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双方对托管协议的效力约定如下：</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一）基金管理人在向中国证监会申请基金募集注册时提交的托管协议草案，应经托管协议当事人双方盖章以及双方法定代表人或授权代表签章，协议当事人双方根据中国证监会的意见修改托管协议草案。托管协议以中国证监会</w:t>
      </w:r>
      <w:r>
        <w:rPr>
          <w:rFonts w:cs="Arial" w:asciiTheme="minorEastAsia" w:hAnsiTheme="minorEastAsia" w:eastAsiaTheme="minorEastAsia"/>
          <w:sz w:val="24"/>
        </w:rPr>
        <w:t>注册</w:t>
      </w:r>
      <w:r>
        <w:rPr>
          <w:rFonts w:hint="eastAsia" w:cs="Arial" w:asciiTheme="minorEastAsia" w:hAnsiTheme="minorEastAsia" w:eastAsiaTheme="minorEastAsia"/>
          <w:sz w:val="24"/>
        </w:rPr>
        <w:t>的文本为正式文本。</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（二）托管协议自《基金合同》成立之日起成立，自《基金合同》生效之日起生效。托管协议的有效期自其生效之日起至基金财产清算结果报中国证监会备案并公告之日止。</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（三）托管协议自生效之日起对托管协议当事人具有同等的法律约束力。</w:t>
      </w:r>
    </w:p>
    <w:p>
      <w:pPr>
        <w:adjustRightInd w:val="0"/>
        <w:snapToGrid w:val="0"/>
        <w:spacing w:line="480" w:lineRule="exact"/>
        <w:ind w:firstLine="480" w:firstLineChars="200"/>
        <w:rPr>
          <w:rFonts w:asciiTheme="minorEastAsia" w:hAnsiTheme="minorEastAsia" w:eastAsiaTheme="minorEastAsia"/>
          <w:sz w:val="30"/>
          <w:szCs w:val="30"/>
        </w:rPr>
      </w:pPr>
      <w:r>
        <w:rPr>
          <w:rFonts w:hint="eastAsia" w:cs="Arial" w:asciiTheme="minorEastAsia" w:hAnsiTheme="minorEastAsia" w:eastAsiaTheme="minorEastAsia"/>
          <w:sz w:val="24"/>
        </w:rPr>
        <w:t>（四）本协议一式三份，协议双方各持一份，上报监管机构一份，每份具有同等的法律效力。</w:t>
      </w:r>
    </w:p>
    <w:p>
      <w:pPr>
        <w:adjustRightInd w:val="0"/>
        <w:snapToGrid w:val="0"/>
        <w:spacing w:line="480" w:lineRule="exact"/>
        <w:rPr>
          <w:rFonts w:cs="Arial" w:asciiTheme="minorEastAsia" w:hAnsiTheme="minorEastAsia" w:eastAsiaTheme="minorEastAsia"/>
          <w:sz w:val="24"/>
        </w:rPr>
      </w:pPr>
    </w:p>
    <w:p>
      <w:pPr>
        <w:widowControl/>
        <w:spacing w:line="480" w:lineRule="exact"/>
        <w:jc w:val="left"/>
        <w:rPr>
          <w:rFonts w:asciiTheme="minorEastAsia" w:hAnsiTheme="minorEastAsia" w:eastAsiaTheme="minorEastAsia"/>
          <w:b/>
          <w:sz w:val="30"/>
          <w:szCs w:val="20"/>
        </w:rPr>
      </w:pPr>
      <w:bookmarkStart w:id="111" w:name="_Toc124325904"/>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二十、其他事项</w:t>
      </w:r>
      <w:bookmarkEnd w:id="111"/>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如发生有权司法机关依法冻结基金份额持有人的基金份额时，基金管理人、基金托管人应予以配合，承担司法协助义务。</w:t>
      </w:r>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除本协议有明确定义外，本协议的用语定义适用《基金合同》的约定。本协议未尽事宜，当事人依据《基金合同》、有关法律法规等规定协商办理。</w:t>
      </w:r>
    </w:p>
    <w:p>
      <w:pPr>
        <w:adjustRightInd w:val="0"/>
        <w:snapToGrid w:val="0"/>
        <w:spacing w:line="480" w:lineRule="exact"/>
        <w:rPr>
          <w:rFonts w:asciiTheme="minorEastAsia" w:hAnsiTheme="minorEastAsia" w:eastAsiaTheme="minorEastAsia"/>
          <w:b/>
          <w:bCs/>
        </w:rPr>
      </w:pPr>
    </w:p>
    <w:p>
      <w:pPr>
        <w:widowControl/>
        <w:spacing w:line="480" w:lineRule="exact"/>
        <w:jc w:val="left"/>
        <w:rPr>
          <w:rFonts w:asciiTheme="minorEastAsia" w:hAnsiTheme="minorEastAsia" w:eastAsiaTheme="minorEastAsia"/>
          <w:b/>
          <w:sz w:val="30"/>
          <w:szCs w:val="20"/>
        </w:rPr>
      </w:pPr>
      <w:bookmarkStart w:id="112" w:name="_Toc124325905"/>
      <w:r>
        <w:rPr>
          <w:rFonts w:asciiTheme="minorEastAsia" w:hAnsiTheme="minorEastAsia" w:eastAsiaTheme="minorEastAsia"/>
          <w:sz w:val="30"/>
        </w:rPr>
        <w:br w:type="page"/>
      </w:r>
    </w:p>
    <w:p>
      <w:pPr>
        <w:pStyle w:val="2"/>
        <w:spacing w:before="0" w:after="0" w:line="480" w:lineRule="exact"/>
        <w:jc w:val="center"/>
        <w:rPr>
          <w:rFonts w:asciiTheme="minorEastAsia" w:hAnsiTheme="minorEastAsia" w:eastAsiaTheme="minorEastAsia"/>
          <w:sz w:val="30"/>
        </w:rPr>
      </w:pPr>
      <w:r>
        <w:rPr>
          <w:rFonts w:hint="eastAsia" w:asciiTheme="minorEastAsia" w:hAnsiTheme="minorEastAsia" w:eastAsiaTheme="minorEastAsia"/>
          <w:sz w:val="30"/>
        </w:rPr>
        <w:t>二十一、托管协议的签订</w:t>
      </w:r>
      <w:bookmarkEnd w:id="112"/>
    </w:p>
    <w:p>
      <w:pPr>
        <w:adjustRightInd w:val="0"/>
        <w:snapToGrid w:val="0"/>
        <w:spacing w:line="480" w:lineRule="exact"/>
        <w:ind w:firstLine="480" w:firstLineChars="200"/>
        <w:rPr>
          <w:rFonts w:cs="Arial" w:asciiTheme="minorEastAsia" w:hAnsiTheme="minorEastAsia" w:eastAsiaTheme="minorEastAsia"/>
          <w:sz w:val="24"/>
        </w:rPr>
      </w:pPr>
      <w:r>
        <w:rPr>
          <w:rFonts w:hint="eastAsia" w:cs="Arial" w:asciiTheme="minorEastAsia" w:hAnsiTheme="minorEastAsia" w:eastAsiaTheme="minorEastAsia"/>
          <w:sz w:val="24"/>
        </w:rPr>
        <w:t>本协议双方盖章并经双方法定代表人或授权代表签章、签订地、签订日。</w:t>
      </w:r>
    </w:p>
    <w:p>
      <w:pPr>
        <w:widowControl/>
        <w:spacing w:line="480" w:lineRule="exact"/>
        <w:jc w:val="left"/>
        <w:rPr>
          <w:rFonts w:cs="Arial" w:asciiTheme="minorEastAsia" w:hAnsiTheme="minorEastAsia" w:eastAsiaTheme="minorEastAsia"/>
          <w:sz w:val="24"/>
        </w:rPr>
      </w:pPr>
      <w:r>
        <w:rPr>
          <w:rFonts w:cs="Arial" w:asciiTheme="minorEastAsia" w:hAnsiTheme="minorEastAsia" w:eastAsiaTheme="minorEastAsia"/>
          <w:sz w:val="24"/>
        </w:rPr>
        <w:br w:type="page"/>
      </w:r>
    </w:p>
    <w:p>
      <w:pPr>
        <w:pStyle w:val="46"/>
        <w:spacing w:line="480" w:lineRule="exact"/>
        <w:ind w:firstLine="0" w:firstLineChars="0"/>
        <w:rPr>
          <w:rFonts w:asciiTheme="minorEastAsia" w:hAnsiTheme="minorEastAsia" w:eastAsiaTheme="minorEastAsia"/>
          <w:sz w:val="21"/>
        </w:rPr>
      </w:pPr>
      <w:r>
        <w:rPr>
          <w:rFonts w:hint="eastAsia" w:asciiTheme="minorEastAsia" w:hAnsiTheme="minorEastAsia" w:eastAsiaTheme="minorEastAsia"/>
          <w:sz w:val="21"/>
        </w:rPr>
        <w:t>（</w:t>
      </w:r>
      <w:r>
        <w:rPr>
          <w:rFonts w:asciiTheme="minorEastAsia" w:hAnsiTheme="minorEastAsia" w:eastAsiaTheme="minorEastAsia"/>
          <w:sz w:val="21"/>
        </w:rPr>
        <w:t>本页无正文</w:t>
      </w:r>
      <w:r>
        <w:rPr>
          <w:rFonts w:hint="eastAsia" w:asciiTheme="minorEastAsia" w:hAnsiTheme="minorEastAsia" w:eastAsiaTheme="minorEastAsia"/>
          <w:sz w:val="21"/>
        </w:rPr>
        <w:t>，为《南方稳合优选3个月持有期混合型基金中基金（FOF）托管协议》签字页</w:t>
      </w:r>
      <w:r>
        <w:rPr>
          <w:rFonts w:asciiTheme="minorEastAsia" w:hAnsiTheme="minorEastAsia" w:eastAsiaTheme="minorEastAsia"/>
          <w:sz w:val="21"/>
        </w:rPr>
        <w:t>）</w:t>
      </w: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r>
        <w:rPr>
          <w:rFonts w:asciiTheme="minorEastAsia" w:hAnsiTheme="minorEastAsia" w:eastAsiaTheme="minorEastAsia"/>
        </w:rPr>
        <w:t>基金管理人：</w:t>
      </w:r>
      <w:r>
        <w:rPr>
          <w:rFonts w:hint="eastAsia" w:asciiTheme="minorEastAsia" w:hAnsiTheme="minorEastAsia" w:eastAsiaTheme="minorEastAsia"/>
        </w:rPr>
        <w:t>南方基金管理股份有限公司</w:t>
      </w: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pStyle w:val="46"/>
        <w:spacing w:line="480" w:lineRule="exact"/>
        <w:ind w:firstLine="0" w:firstLineChars="0"/>
        <w:rPr>
          <w:rFonts w:asciiTheme="minorEastAsia" w:hAnsiTheme="minorEastAsia" w:eastAsiaTheme="minorEastAsia"/>
          <w:sz w:val="21"/>
        </w:rPr>
      </w:pPr>
      <w:r>
        <w:rPr>
          <w:rFonts w:asciiTheme="minorEastAsia" w:hAnsiTheme="minorEastAsia" w:eastAsiaTheme="minorEastAsia"/>
          <w:sz w:val="21"/>
        </w:rPr>
        <w:t>法定代表人或授权代表（签字</w:t>
      </w:r>
      <w:r>
        <w:rPr>
          <w:rFonts w:hint="eastAsia" w:asciiTheme="minorEastAsia" w:hAnsiTheme="minorEastAsia" w:eastAsiaTheme="minorEastAsia"/>
          <w:sz w:val="21"/>
        </w:rPr>
        <w:t>或签章</w:t>
      </w:r>
      <w:r>
        <w:rPr>
          <w:rFonts w:asciiTheme="minorEastAsia" w:hAnsiTheme="minorEastAsia" w:eastAsiaTheme="minorEastAsia"/>
          <w:sz w:val="21"/>
        </w:rPr>
        <w:t xml:space="preserve">）： </w:t>
      </w: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pStyle w:val="46"/>
        <w:spacing w:line="480" w:lineRule="exact"/>
        <w:ind w:firstLine="0" w:firstLineChars="0"/>
        <w:rPr>
          <w:rFonts w:asciiTheme="minorEastAsia" w:hAnsiTheme="minorEastAsia" w:eastAsiaTheme="minorEastAsia"/>
          <w:sz w:val="21"/>
        </w:rPr>
      </w:pPr>
      <w:r>
        <w:rPr>
          <w:rFonts w:asciiTheme="minorEastAsia" w:hAnsiTheme="minorEastAsia" w:eastAsiaTheme="minorEastAsia"/>
          <w:sz w:val="21"/>
        </w:rPr>
        <w:t>基金托管人</w:t>
      </w:r>
      <w:r>
        <w:rPr>
          <w:rFonts w:asciiTheme="minorEastAsia" w:hAnsiTheme="minorEastAsia" w:eastAsiaTheme="minorEastAsia"/>
        </w:rPr>
        <w:t>：</w:t>
      </w:r>
      <w:r>
        <w:rPr>
          <w:rFonts w:hint="eastAsia" w:asciiTheme="minorEastAsia" w:hAnsiTheme="minorEastAsia" w:eastAsiaTheme="minorEastAsia"/>
          <w:sz w:val="21"/>
        </w:rPr>
        <w:t>徽商银行股份有限公司</w:t>
      </w: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pStyle w:val="46"/>
        <w:spacing w:line="480" w:lineRule="exact"/>
        <w:ind w:firstLine="0" w:firstLineChars="0"/>
        <w:rPr>
          <w:rFonts w:asciiTheme="minorEastAsia" w:hAnsiTheme="minorEastAsia" w:eastAsiaTheme="minorEastAsia"/>
          <w:sz w:val="21"/>
        </w:rPr>
      </w:pPr>
      <w:r>
        <w:rPr>
          <w:rFonts w:asciiTheme="minorEastAsia" w:hAnsiTheme="minorEastAsia" w:eastAsiaTheme="minorEastAsia"/>
          <w:sz w:val="21"/>
        </w:rPr>
        <w:t>法定代表人或授权代表（签字</w:t>
      </w:r>
      <w:r>
        <w:rPr>
          <w:rFonts w:hint="eastAsia" w:asciiTheme="minorEastAsia" w:hAnsiTheme="minorEastAsia" w:eastAsiaTheme="minorEastAsia"/>
          <w:sz w:val="21"/>
        </w:rPr>
        <w:t>或签章</w:t>
      </w:r>
      <w:r>
        <w:rPr>
          <w:rFonts w:asciiTheme="minorEastAsia" w:hAnsiTheme="minorEastAsia" w:eastAsiaTheme="minorEastAsia"/>
          <w:sz w:val="21"/>
        </w:rPr>
        <w:t>）：</w:t>
      </w: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snapToGrid w:val="0"/>
        <w:spacing w:line="480" w:lineRule="exact"/>
        <w:rPr>
          <w:rFonts w:asciiTheme="minorEastAsia" w:hAnsiTheme="minorEastAsia" w:eastAsiaTheme="minorEastAsia"/>
        </w:rPr>
      </w:pPr>
    </w:p>
    <w:p>
      <w:pPr>
        <w:pStyle w:val="46"/>
        <w:spacing w:line="480" w:lineRule="exact"/>
        <w:ind w:firstLine="0" w:firstLineChars="0"/>
        <w:rPr>
          <w:rFonts w:asciiTheme="minorEastAsia" w:hAnsiTheme="minorEastAsia" w:eastAsiaTheme="minorEastAsia"/>
          <w:sz w:val="21"/>
        </w:rPr>
      </w:pPr>
      <w:r>
        <w:rPr>
          <w:rFonts w:asciiTheme="minorEastAsia" w:hAnsiTheme="minorEastAsia" w:eastAsiaTheme="minorEastAsia"/>
          <w:sz w:val="21"/>
        </w:rPr>
        <w:t>签订地：</w:t>
      </w:r>
      <w:r>
        <w:rPr>
          <w:rFonts w:hint="eastAsia" w:asciiTheme="minorEastAsia" w:hAnsiTheme="minorEastAsia" w:eastAsiaTheme="minorEastAsia"/>
          <w:sz w:val="21"/>
        </w:rPr>
        <w:t xml:space="preserve"> </w:t>
      </w:r>
      <w:r>
        <w:rPr>
          <w:rFonts w:asciiTheme="minorEastAsia" w:hAnsiTheme="minorEastAsia" w:eastAsiaTheme="minorEastAsia"/>
          <w:sz w:val="21"/>
        </w:rPr>
        <w:t xml:space="preserve">    </w:t>
      </w:r>
    </w:p>
    <w:p>
      <w:pPr>
        <w:pStyle w:val="46"/>
        <w:spacing w:line="480" w:lineRule="exact"/>
        <w:ind w:firstLine="0" w:firstLineChars="0"/>
        <w:rPr>
          <w:rFonts w:asciiTheme="minorEastAsia" w:hAnsiTheme="minorEastAsia" w:eastAsiaTheme="minorEastAsia"/>
        </w:rPr>
      </w:pPr>
      <w:r>
        <w:rPr>
          <w:rFonts w:asciiTheme="minorEastAsia" w:hAnsiTheme="minorEastAsia" w:eastAsiaTheme="minorEastAsia"/>
          <w:sz w:val="21"/>
        </w:rPr>
        <w:t>签订日：</w:t>
      </w:r>
      <w:r>
        <w:rPr>
          <w:rFonts w:hint="eastAsia" w:asciiTheme="minorEastAsia" w:hAnsiTheme="minorEastAsia" w:eastAsiaTheme="minorEastAsia"/>
          <w:sz w:val="21"/>
        </w:rPr>
        <w:t xml:space="preserve">　　 </w:t>
      </w:r>
      <w:r>
        <w:rPr>
          <w:rFonts w:asciiTheme="minorEastAsia" w:hAnsiTheme="minorEastAsia" w:eastAsiaTheme="minorEastAsia"/>
          <w:sz w:val="21"/>
        </w:rPr>
        <w:t>年   月   日</w:t>
      </w:r>
      <w:bookmarkStart w:id="113" w:name="_Hlt89590562"/>
      <w:bookmarkEnd w:id="113"/>
    </w:p>
    <w:p>
      <w:pPr>
        <w:adjustRightInd w:val="0"/>
        <w:snapToGrid w:val="0"/>
        <w:spacing w:line="480" w:lineRule="exact"/>
        <w:ind w:firstLine="480" w:firstLineChars="200"/>
        <w:rPr>
          <w:rFonts w:cs="Arial" w:asciiTheme="minorEastAsia" w:hAnsiTheme="minorEastAsia" w:eastAsiaTheme="minorEastAsia"/>
          <w:sz w:val="24"/>
        </w:rPr>
      </w:pPr>
    </w:p>
    <w:sectPr>
      <w:headerReference r:id="rId5" w:type="default"/>
      <w:footerReference r:id="rId6" w:type="default"/>
      <w:pgSz w:w="11906" w:h="16838"/>
      <w:pgMar w:top="1418" w:right="1701" w:bottom="1418"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Arial Unicode MS">
    <w:altName w:val="宋体"/>
    <w:panose1 w:val="020B0604020202020204"/>
    <w:charset w:val="86"/>
    <w:family w:val="swiss"/>
    <w:pitch w:val="default"/>
    <w:sig w:usb0="00000000" w:usb1="00000000" w:usb2="0000003F" w:usb3="00000000" w:csb0="603F01FF" w:csb1="FFFF0000"/>
  </w:font>
  <w:font w:name="楷体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8"/>
      </w:rPr>
    </w:pPr>
    <w:r>
      <w:rPr>
        <w:rStyle w:val="28"/>
      </w:rPr>
      <w:fldChar w:fldCharType="begin"/>
    </w:r>
    <w:r>
      <w:rPr>
        <w:rStyle w:val="28"/>
      </w:rPr>
      <w:instrText xml:space="preserve">PAGE  </w:instrText>
    </w:r>
    <w:r>
      <w:rPr>
        <w:rStyle w:val="28"/>
      </w:rPr>
      <w:fldChar w:fldCharType="separate"/>
    </w:r>
    <w:r>
      <w:rPr>
        <w:rStyle w:val="28"/>
      </w:rPr>
      <w:t>1</w:t>
    </w:r>
    <w:r>
      <w:rPr>
        <w:rStyle w:val="28"/>
      </w:rPr>
      <w:fldChar w:fldCharType="end"/>
    </w:r>
  </w:p>
  <w:p>
    <w:pPr>
      <w:pStyle w:val="1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8"/>
      </w:rPr>
    </w:pPr>
    <w:r>
      <w:rPr>
        <w:rStyle w:val="28"/>
      </w:rPr>
      <w:fldChar w:fldCharType="begin"/>
    </w:r>
    <w:r>
      <w:rPr>
        <w:rStyle w:val="28"/>
      </w:rPr>
      <w:instrText xml:space="preserve">PAGE  </w:instrText>
    </w:r>
    <w:r>
      <w:rPr>
        <w:rStyle w:val="28"/>
      </w:rPr>
      <w:fldChar w:fldCharType="end"/>
    </w:r>
  </w:p>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dit="trackedChanges"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7E74"/>
    <w:rsid w:val="00001942"/>
    <w:rsid w:val="00001AB6"/>
    <w:rsid w:val="00004362"/>
    <w:rsid w:val="00004CC0"/>
    <w:rsid w:val="000055C8"/>
    <w:rsid w:val="000106EF"/>
    <w:rsid w:val="000107CB"/>
    <w:rsid w:val="00010FA9"/>
    <w:rsid w:val="00011418"/>
    <w:rsid w:val="00011A4D"/>
    <w:rsid w:val="00014473"/>
    <w:rsid w:val="00014D1F"/>
    <w:rsid w:val="0001676E"/>
    <w:rsid w:val="00020CF3"/>
    <w:rsid w:val="00022271"/>
    <w:rsid w:val="0002440F"/>
    <w:rsid w:val="00031081"/>
    <w:rsid w:val="0003192F"/>
    <w:rsid w:val="000319D8"/>
    <w:rsid w:val="000328D4"/>
    <w:rsid w:val="00034727"/>
    <w:rsid w:val="00034761"/>
    <w:rsid w:val="00035C77"/>
    <w:rsid w:val="000372E3"/>
    <w:rsid w:val="000376B5"/>
    <w:rsid w:val="000403DC"/>
    <w:rsid w:val="00042430"/>
    <w:rsid w:val="00042A67"/>
    <w:rsid w:val="00043FE5"/>
    <w:rsid w:val="00044AB6"/>
    <w:rsid w:val="00045893"/>
    <w:rsid w:val="000460F8"/>
    <w:rsid w:val="00047C68"/>
    <w:rsid w:val="00047FC0"/>
    <w:rsid w:val="00051FCD"/>
    <w:rsid w:val="0005278E"/>
    <w:rsid w:val="000565AC"/>
    <w:rsid w:val="00057390"/>
    <w:rsid w:val="00062A08"/>
    <w:rsid w:val="000634A2"/>
    <w:rsid w:val="00063F20"/>
    <w:rsid w:val="00064CA2"/>
    <w:rsid w:val="000666BC"/>
    <w:rsid w:val="00066B31"/>
    <w:rsid w:val="000672EA"/>
    <w:rsid w:val="00070457"/>
    <w:rsid w:val="00071E45"/>
    <w:rsid w:val="0007208B"/>
    <w:rsid w:val="0007382B"/>
    <w:rsid w:val="00074577"/>
    <w:rsid w:val="0007501D"/>
    <w:rsid w:val="000802A2"/>
    <w:rsid w:val="00080A26"/>
    <w:rsid w:val="000822E6"/>
    <w:rsid w:val="0008405E"/>
    <w:rsid w:val="00085461"/>
    <w:rsid w:val="0008595C"/>
    <w:rsid w:val="00087083"/>
    <w:rsid w:val="00087A51"/>
    <w:rsid w:val="0009224F"/>
    <w:rsid w:val="00093D2B"/>
    <w:rsid w:val="00094B29"/>
    <w:rsid w:val="00095317"/>
    <w:rsid w:val="000966D3"/>
    <w:rsid w:val="000A0416"/>
    <w:rsid w:val="000A07D9"/>
    <w:rsid w:val="000A176E"/>
    <w:rsid w:val="000A1C0D"/>
    <w:rsid w:val="000A1E60"/>
    <w:rsid w:val="000A55A6"/>
    <w:rsid w:val="000A6B35"/>
    <w:rsid w:val="000A6E60"/>
    <w:rsid w:val="000A6F53"/>
    <w:rsid w:val="000B0D86"/>
    <w:rsid w:val="000B16BA"/>
    <w:rsid w:val="000B34FC"/>
    <w:rsid w:val="000B45BA"/>
    <w:rsid w:val="000B507D"/>
    <w:rsid w:val="000B5144"/>
    <w:rsid w:val="000B5E9D"/>
    <w:rsid w:val="000C100E"/>
    <w:rsid w:val="000C266E"/>
    <w:rsid w:val="000C4736"/>
    <w:rsid w:val="000C4D78"/>
    <w:rsid w:val="000C54B7"/>
    <w:rsid w:val="000C57D4"/>
    <w:rsid w:val="000C66D3"/>
    <w:rsid w:val="000C712C"/>
    <w:rsid w:val="000D0580"/>
    <w:rsid w:val="000D136F"/>
    <w:rsid w:val="000D222A"/>
    <w:rsid w:val="000D29BD"/>
    <w:rsid w:val="000D4172"/>
    <w:rsid w:val="000D48F2"/>
    <w:rsid w:val="000D4C04"/>
    <w:rsid w:val="000D6F04"/>
    <w:rsid w:val="000D71A8"/>
    <w:rsid w:val="000D7743"/>
    <w:rsid w:val="000D7A90"/>
    <w:rsid w:val="000E2A46"/>
    <w:rsid w:val="000E31BF"/>
    <w:rsid w:val="000E4092"/>
    <w:rsid w:val="000E5FBC"/>
    <w:rsid w:val="000E6BCF"/>
    <w:rsid w:val="000E7B60"/>
    <w:rsid w:val="000F0393"/>
    <w:rsid w:val="000F12EA"/>
    <w:rsid w:val="000F2531"/>
    <w:rsid w:val="000F3A96"/>
    <w:rsid w:val="000F6A7E"/>
    <w:rsid w:val="001008F8"/>
    <w:rsid w:val="00100B41"/>
    <w:rsid w:val="00101BCD"/>
    <w:rsid w:val="0010204F"/>
    <w:rsid w:val="00102E8F"/>
    <w:rsid w:val="0010372E"/>
    <w:rsid w:val="00103757"/>
    <w:rsid w:val="00106017"/>
    <w:rsid w:val="00106DC9"/>
    <w:rsid w:val="001071FD"/>
    <w:rsid w:val="001074B4"/>
    <w:rsid w:val="00110DFD"/>
    <w:rsid w:val="00111B05"/>
    <w:rsid w:val="001148BB"/>
    <w:rsid w:val="001148C3"/>
    <w:rsid w:val="00114D32"/>
    <w:rsid w:val="00120D7F"/>
    <w:rsid w:val="00121A5E"/>
    <w:rsid w:val="00122B1E"/>
    <w:rsid w:val="00122FCA"/>
    <w:rsid w:val="001253BC"/>
    <w:rsid w:val="001305B0"/>
    <w:rsid w:val="00130A39"/>
    <w:rsid w:val="0013367F"/>
    <w:rsid w:val="00134802"/>
    <w:rsid w:val="0013507D"/>
    <w:rsid w:val="00136CC9"/>
    <w:rsid w:val="00137238"/>
    <w:rsid w:val="00140669"/>
    <w:rsid w:val="0014106F"/>
    <w:rsid w:val="001452AE"/>
    <w:rsid w:val="001463D2"/>
    <w:rsid w:val="0014766B"/>
    <w:rsid w:val="00151B48"/>
    <w:rsid w:val="0015295F"/>
    <w:rsid w:val="00155B1F"/>
    <w:rsid w:val="00156EA6"/>
    <w:rsid w:val="001571B3"/>
    <w:rsid w:val="00157A81"/>
    <w:rsid w:val="00161ECC"/>
    <w:rsid w:val="001663BE"/>
    <w:rsid w:val="001669F6"/>
    <w:rsid w:val="00167228"/>
    <w:rsid w:val="0016732F"/>
    <w:rsid w:val="0016753E"/>
    <w:rsid w:val="00167EDC"/>
    <w:rsid w:val="0017001D"/>
    <w:rsid w:val="0017113F"/>
    <w:rsid w:val="00172AB8"/>
    <w:rsid w:val="00172BD0"/>
    <w:rsid w:val="00172D7F"/>
    <w:rsid w:val="00175369"/>
    <w:rsid w:val="00176DB0"/>
    <w:rsid w:val="001775A7"/>
    <w:rsid w:val="001778DB"/>
    <w:rsid w:val="0018074E"/>
    <w:rsid w:val="001836BD"/>
    <w:rsid w:val="00186C0D"/>
    <w:rsid w:val="00187C58"/>
    <w:rsid w:val="0019043B"/>
    <w:rsid w:val="00192138"/>
    <w:rsid w:val="00192683"/>
    <w:rsid w:val="00192772"/>
    <w:rsid w:val="001930B0"/>
    <w:rsid w:val="00195EE5"/>
    <w:rsid w:val="001A02F1"/>
    <w:rsid w:val="001A07C9"/>
    <w:rsid w:val="001A30E6"/>
    <w:rsid w:val="001A315C"/>
    <w:rsid w:val="001A4F20"/>
    <w:rsid w:val="001A559B"/>
    <w:rsid w:val="001A57B7"/>
    <w:rsid w:val="001A5EB3"/>
    <w:rsid w:val="001A65F2"/>
    <w:rsid w:val="001B0021"/>
    <w:rsid w:val="001B07DD"/>
    <w:rsid w:val="001B3419"/>
    <w:rsid w:val="001B3B5D"/>
    <w:rsid w:val="001B553D"/>
    <w:rsid w:val="001B5F17"/>
    <w:rsid w:val="001B6302"/>
    <w:rsid w:val="001B6BE8"/>
    <w:rsid w:val="001B7002"/>
    <w:rsid w:val="001B72D8"/>
    <w:rsid w:val="001C0152"/>
    <w:rsid w:val="001C18CD"/>
    <w:rsid w:val="001C230D"/>
    <w:rsid w:val="001C2883"/>
    <w:rsid w:val="001C7311"/>
    <w:rsid w:val="001C73FE"/>
    <w:rsid w:val="001D0553"/>
    <w:rsid w:val="001D0E42"/>
    <w:rsid w:val="001D4A1B"/>
    <w:rsid w:val="001E0091"/>
    <w:rsid w:val="001E18D3"/>
    <w:rsid w:val="001E27CC"/>
    <w:rsid w:val="001E2CF8"/>
    <w:rsid w:val="001E5925"/>
    <w:rsid w:val="001E611C"/>
    <w:rsid w:val="001E617B"/>
    <w:rsid w:val="001E6454"/>
    <w:rsid w:val="001E677F"/>
    <w:rsid w:val="001E7B66"/>
    <w:rsid w:val="001F048D"/>
    <w:rsid w:val="001F0BF8"/>
    <w:rsid w:val="001F185A"/>
    <w:rsid w:val="001F259C"/>
    <w:rsid w:val="001F35DE"/>
    <w:rsid w:val="001F5164"/>
    <w:rsid w:val="001F5DDD"/>
    <w:rsid w:val="001F61FC"/>
    <w:rsid w:val="0020043C"/>
    <w:rsid w:val="002006FC"/>
    <w:rsid w:val="002023DD"/>
    <w:rsid w:val="00202706"/>
    <w:rsid w:val="00202D04"/>
    <w:rsid w:val="00204008"/>
    <w:rsid w:val="0020424C"/>
    <w:rsid w:val="00205234"/>
    <w:rsid w:val="0020717A"/>
    <w:rsid w:val="002146B0"/>
    <w:rsid w:val="0021568E"/>
    <w:rsid w:val="00215762"/>
    <w:rsid w:val="00215803"/>
    <w:rsid w:val="00216A55"/>
    <w:rsid w:val="00217028"/>
    <w:rsid w:val="002171FA"/>
    <w:rsid w:val="002208A7"/>
    <w:rsid w:val="00220F4A"/>
    <w:rsid w:val="00223527"/>
    <w:rsid w:val="00223860"/>
    <w:rsid w:val="00224E70"/>
    <w:rsid w:val="00225205"/>
    <w:rsid w:val="002257DA"/>
    <w:rsid w:val="002319F2"/>
    <w:rsid w:val="00231DD3"/>
    <w:rsid w:val="00232D20"/>
    <w:rsid w:val="002334AD"/>
    <w:rsid w:val="00234997"/>
    <w:rsid w:val="002358F5"/>
    <w:rsid w:val="00237B3A"/>
    <w:rsid w:val="00237DF2"/>
    <w:rsid w:val="00240EAE"/>
    <w:rsid w:val="00241347"/>
    <w:rsid w:val="00241F0D"/>
    <w:rsid w:val="0024245C"/>
    <w:rsid w:val="002431B4"/>
    <w:rsid w:val="00244CC3"/>
    <w:rsid w:val="002455BD"/>
    <w:rsid w:val="00246CBB"/>
    <w:rsid w:val="0025107C"/>
    <w:rsid w:val="00254004"/>
    <w:rsid w:val="00254361"/>
    <w:rsid w:val="0025698F"/>
    <w:rsid w:val="002616A3"/>
    <w:rsid w:val="00262039"/>
    <w:rsid w:val="002627E9"/>
    <w:rsid w:val="00266523"/>
    <w:rsid w:val="0026654C"/>
    <w:rsid w:val="00266A76"/>
    <w:rsid w:val="00266BE0"/>
    <w:rsid w:val="002704DF"/>
    <w:rsid w:val="002713A0"/>
    <w:rsid w:val="002715B7"/>
    <w:rsid w:val="00272E80"/>
    <w:rsid w:val="002746BB"/>
    <w:rsid w:val="002758C8"/>
    <w:rsid w:val="00277589"/>
    <w:rsid w:val="00277EA3"/>
    <w:rsid w:val="002805C5"/>
    <w:rsid w:val="002813CE"/>
    <w:rsid w:val="00282216"/>
    <w:rsid w:val="00282675"/>
    <w:rsid w:val="0028442A"/>
    <w:rsid w:val="002845A8"/>
    <w:rsid w:val="00284A77"/>
    <w:rsid w:val="00285D24"/>
    <w:rsid w:val="00285E1A"/>
    <w:rsid w:val="00285FEC"/>
    <w:rsid w:val="0028655B"/>
    <w:rsid w:val="00287A5D"/>
    <w:rsid w:val="00287B07"/>
    <w:rsid w:val="00290584"/>
    <w:rsid w:val="002906CA"/>
    <w:rsid w:val="00291203"/>
    <w:rsid w:val="00291AEB"/>
    <w:rsid w:val="00291CCE"/>
    <w:rsid w:val="00292027"/>
    <w:rsid w:val="00292BEB"/>
    <w:rsid w:val="002947F8"/>
    <w:rsid w:val="00295A98"/>
    <w:rsid w:val="002972A1"/>
    <w:rsid w:val="002A0C78"/>
    <w:rsid w:val="002A1041"/>
    <w:rsid w:val="002A2760"/>
    <w:rsid w:val="002A2970"/>
    <w:rsid w:val="002A3B38"/>
    <w:rsid w:val="002A5A1F"/>
    <w:rsid w:val="002A710F"/>
    <w:rsid w:val="002A7F1E"/>
    <w:rsid w:val="002B0CA0"/>
    <w:rsid w:val="002B0CC0"/>
    <w:rsid w:val="002B2560"/>
    <w:rsid w:val="002B47FE"/>
    <w:rsid w:val="002B63BE"/>
    <w:rsid w:val="002B6898"/>
    <w:rsid w:val="002B788B"/>
    <w:rsid w:val="002C1551"/>
    <w:rsid w:val="002C1717"/>
    <w:rsid w:val="002C33C4"/>
    <w:rsid w:val="002C3645"/>
    <w:rsid w:val="002C4F71"/>
    <w:rsid w:val="002C555A"/>
    <w:rsid w:val="002C686C"/>
    <w:rsid w:val="002C79A7"/>
    <w:rsid w:val="002C7B85"/>
    <w:rsid w:val="002D01F7"/>
    <w:rsid w:val="002D18C8"/>
    <w:rsid w:val="002D2441"/>
    <w:rsid w:val="002D50C3"/>
    <w:rsid w:val="002D733E"/>
    <w:rsid w:val="002D74E0"/>
    <w:rsid w:val="002D7F50"/>
    <w:rsid w:val="002F2840"/>
    <w:rsid w:val="002F309D"/>
    <w:rsid w:val="002F4033"/>
    <w:rsid w:val="002F40EB"/>
    <w:rsid w:val="002F4E6C"/>
    <w:rsid w:val="002F53F1"/>
    <w:rsid w:val="002F6019"/>
    <w:rsid w:val="002F6C97"/>
    <w:rsid w:val="003012B2"/>
    <w:rsid w:val="003027C8"/>
    <w:rsid w:val="00303E57"/>
    <w:rsid w:val="00303F78"/>
    <w:rsid w:val="0030505B"/>
    <w:rsid w:val="003062FC"/>
    <w:rsid w:val="003063AC"/>
    <w:rsid w:val="003072DC"/>
    <w:rsid w:val="00307BF9"/>
    <w:rsid w:val="00313E52"/>
    <w:rsid w:val="00314127"/>
    <w:rsid w:val="0031414C"/>
    <w:rsid w:val="003151FA"/>
    <w:rsid w:val="003154FF"/>
    <w:rsid w:val="003159F3"/>
    <w:rsid w:val="00315F8B"/>
    <w:rsid w:val="00316ADC"/>
    <w:rsid w:val="00317638"/>
    <w:rsid w:val="00321B78"/>
    <w:rsid w:val="00323959"/>
    <w:rsid w:val="00324712"/>
    <w:rsid w:val="00326469"/>
    <w:rsid w:val="00326822"/>
    <w:rsid w:val="0033031D"/>
    <w:rsid w:val="00330D7F"/>
    <w:rsid w:val="003324D9"/>
    <w:rsid w:val="00332BF0"/>
    <w:rsid w:val="00332D12"/>
    <w:rsid w:val="003340C8"/>
    <w:rsid w:val="0033465E"/>
    <w:rsid w:val="00334F1D"/>
    <w:rsid w:val="00335377"/>
    <w:rsid w:val="003355E2"/>
    <w:rsid w:val="003368AF"/>
    <w:rsid w:val="00337232"/>
    <w:rsid w:val="003375E6"/>
    <w:rsid w:val="00340D64"/>
    <w:rsid w:val="003413DE"/>
    <w:rsid w:val="0034349B"/>
    <w:rsid w:val="00344C55"/>
    <w:rsid w:val="003461DD"/>
    <w:rsid w:val="003478DD"/>
    <w:rsid w:val="00350203"/>
    <w:rsid w:val="003502D5"/>
    <w:rsid w:val="003508C9"/>
    <w:rsid w:val="00351201"/>
    <w:rsid w:val="00351A9F"/>
    <w:rsid w:val="00352DED"/>
    <w:rsid w:val="003530F1"/>
    <w:rsid w:val="003532E6"/>
    <w:rsid w:val="0035391F"/>
    <w:rsid w:val="00354A2B"/>
    <w:rsid w:val="0035759A"/>
    <w:rsid w:val="0036215B"/>
    <w:rsid w:val="003622F2"/>
    <w:rsid w:val="00362827"/>
    <w:rsid w:val="0036425A"/>
    <w:rsid w:val="00364452"/>
    <w:rsid w:val="003654A9"/>
    <w:rsid w:val="00365B75"/>
    <w:rsid w:val="00366795"/>
    <w:rsid w:val="003704F4"/>
    <w:rsid w:val="0037337E"/>
    <w:rsid w:val="00373975"/>
    <w:rsid w:val="00373A4F"/>
    <w:rsid w:val="00373CBE"/>
    <w:rsid w:val="00373E3D"/>
    <w:rsid w:val="00375EC6"/>
    <w:rsid w:val="003765C4"/>
    <w:rsid w:val="003821E4"/>
    <w:rsid w:val="003832F5"/>
    <w:rsid w:val="00385AA9"/>
    <w:rsid w:val="00386C4A"/>
    <w:rsid w:val="00390E43"/>
    <w:rsid w:val="00390ECE"/>
    <w:rsid w:val="003959AA"/>
    <w:rsid w:val="00396238"/>
    <w:rsid w:val="003A0F20"/>
    <w:rsid w:val="003A1E4F"/>
    <w:rsid w:val="003A2224"/>
    <w:rsid w:val="003A24B8"/>
    <w:rsid w:val="003A2DE3"/>
    <w:rsid w:val="003A4CEE"/>
    <w:rsid w:val="003A529D"/>
    <w:rsid w:val="003A66F8"/>
    <w:rsid w:val="003A7698"/>
    <w:rsid w:val="003B3397"/>
    <w:rsid w:val="003B457D"/>
    <w:rsid w:val="003B5947"/>
    <w:rsid w:val="003B6259"/>
    <w:rsid w:val="003B62DA"/>
    <w:rsid w:val="003B6FB3"/>
    <w:rsid w:val="003C0060"/>
    <w:rsid w:val="003C0916"/>
    <w:rsid w:val="003C14FD"/>
    <w:rsid w:val="003C20A8"/>
    <w:rsid w:val="003C343B"/>
    <w:rsid w:val="003C5D4F"/>
    <w:rsid w:val="003C62A6"/>
    <w:rsid w:val="003C780E"/>
    <w:rsid w:val="003C7CE3"/>
    <w:rsid w:val="003D3644"/>
    <w:rsid w:val="003D4F85"/>
    <w:rsid w:val="003D5FF9"/>
    <w:rsid w:val="003D6C19"/>
    <w:rsid w:val="003D72D8"/>
    <w:rsid w:val="003E3DA0"/>
    <w:rsid w:val="003E40A1"/>
    <w:rsid w:val="003E4CBE"/>
    <w:rsid w:val="003E4DCE"/>
    <w:rsid w:val="003E5CC4"/>
    <w:rsid w:val="003E6866"/>
    <w:rsid w:val="003E6D22"/>
    <w:rsid w:val="003E704B"/>
    <w:rsid w:val="003E7A24"/>
    <w:rsid w:val="003F0C52"/>
    <w:rsid w:val="003F0F49"/>
    <w:rsid w:val="003F148A"/>
    <w:rsid w:val="003F2011"/>
    <w:rsid w:val="003F4074"/>
    <w:rsid w:val="003F43E3"/>
    <w:rsid w:val="003F63E8"/>
    <w:rsid w:val="00400D64"/>
    <w:rsid w:val="004013E8"/>
    <w:rsid w:val="00402BEF"/>
    <w:rsid w:val="00403F29"/>
    <w:rsid w:val="004049AF"/>
    <w:rsid w:val="004073B6"/>
    <w:rsid w:val="00410F4D"/>
    <w:rsid w:val="004121C6"/>
    <w:rsid w:val="004127E2"/>
    <w:rsid w:val="004137A6"/>
    <w:rsid w:val="00413D18"/>
    <w:rsid w:val="0041488C"/>
    <w:rsid w:val="0041693B"/>
    <w:rsid w:val="00417FE1"/>
    <w:rsid w:val="00420BBD"/>
    <w:rsid w:val="00421257"/>
    <w:rsid w:val="00421E1D"/>
    <w:rsid w:val="0042484D"/>
    <w:rsid w:val="00424957"/>
    <w:rsid w:val="00424B99"/>
    <w:rsid w:val="00424BEF"/>
    <w:rsid w:val="004273CE"/>
    <w:rsid w:val="004276BF"/>
    <w:rsid w:val="00430303"/>
    <w:rsid w:val="00431C35"/>
    <w:rsid w:val="004365D5"/>
    <w:rsid w:val="00437272"/>
    <w:rsid w:val="00440326"/>
    <w:rsid w:val="00440754"/>
    <w:rsid w:val="00441398"/>
    <w:rsid w:val="0044236D"/>
    <w:rsid w:val="0044270E"/>
    <w:rsid w:val="00443343"/>
    <w:rsid w:val="00445840"/>
    <w:rsid w:val="00446807"/>
    <w:rsid w:val="00447709"/>
    <w:rsid w:val="004514C2"/>
    <w:rsid w:val="004525FD"/>
    <w:rsid w:val="00453DAB"/>
    <w:rsid w:val="004559BD"/>
    <w:rsid w:val="00455CC9"/>
    <w:rsid w:val="004565B1"/>
    <w:rsid w:val="0046729E"/>
    <w:rsid w:val="00467952"/>
    <w:rsid w:val="00475291"/>
    <w:rsid w:val="00476249"/>
    <w:rsid w:val="0048009E"/>
    <w:rsid w:val="00482BC2"/>
    <w:rsid w:val="00482EA3"/>
    <w:rsid w:val="00486CD6"/>
    <w:rsid w:val="004875D2"/>
    <w:rsid w:val="00487F22"/>
    <w:rsid w:val="00487FF2"/>
    <w:rsid w:val="0049067F"/>
    <w:rsid w:val="00491579"/>
    <w:rsid w:val="004939B8"/>
    <w:rsid w:val="00494076"/>
    <w:rsid w:val="004978E1"/>
    <w:rsid w:val="004A209E"/>
    <w:rsid w:val="004A23AA"/>
    <w:rsid w:val="004A2C36"/>
    <w:rsid w:val="004A424B"/>
    <w:rsid w:val="004A555F"/>
    <w:rsid w:val="004A58E0"/>
    <w:rsid w:val="004B0935"/>
    <w:rsid w:val="004B364E"/>
    <w:rsid w:val="004B3DB1"/>
    <w:rsid w:val="004B4274"/>
    <w:rsid w:val="004B5D71"/>
    <w:rsid w:val="004B6942"/>
    <w:rsid w:val="004C0688"/>
    <w:rsid w:val="004C1DD6"/>
    <w:rsid w:val="004C24B0"/>
    <w:rsid w:val="004C3FC9"/>
    <w:rsid w:val="004C5FFA"/>
    <w:rsid w:val="004C6364"/>
    <w:rsid w:val="004D06D0"/>
    <w:rsid w:val="004D1CF2"/>
    <w:rsid w:val="004D2EDA"/>
    <w:rsid w:val="004D5709"/>
    <w:rsid w:val="004D632A"/>
    <w:rsid w:val="004D635F"/>
    <w:rsid w:val="004D63CE"/>
    <w:rsid w:val="004D6A5E"/>
    <w:rsid w:val="004D7E16"/>
    <w:rsid w:val="004E01C1"/>
    <w:rsid w:val="004E304D"/>
    <w:rsid w:val="004E4B16"/>
    <w:rsid w:val="004E5123"/>
    <w:rsid w:val="004E597D"/>
    <w:rsid w:val="004E5BD3"/>
    <w:rsid w:val="004F0774"/>
    <w:rsid w:val="004F29D7"/>
    <w:rsid w:val="004F6627"/>
    <w:rsid w:val="004F69C0"/>
    <w:rsid w:val="004F7BE0"/>
    <w:rsid w:val="00501451"/>
    <w:rsid w:val="005024BB"/>
    <w:rsid w:val="005039B0"/>
    <w:rsid w:val="00505AC7"/>
    <w:rsid w:val="005061FF"/>
    <w:rsid w:val="005062EB"/>
    <w:rsid w:val="00511C7C"/>
    <w:rsid w:val="00511D84"/>
    <w:rsid w:val="00515140"/>
    <w:rsid w:val="005151D2"/>
    <w:rsid w:val="00516D53"/>
    <w:rsid w:val="005202F9"/>
    <w:rsid w:val="00520B37"/>
    <w:rsid w:val="0052464E"/>
    <w:rsid w:val="0052634C"/>
    <w:rsid w:val="00526808"/>
    <w:rsid w:val="00526EE0"/>
    <w:rsid w:val="00527418"/>
    <w:rsid w:val="005279E1"/>
    <w:rsid w:val="0053019C"/>
    <w:rsid w:val="005325B3"/>
    <w:rsid w:val="00534921"/>
    <w:rsid w:val="00534D58"/>
    <w:rsid w:val="005352C9"/>
    <w:rsid w:val="0053609B"/>
    <w:rsid w:val="005361C7"/>
    <w:rsid w:val="00536243"/>
    <w:rsid w:val="0053651D"/>
    <w:rsid w:val="00536928"/>
    <w:rsid w:val="0054075E"/>
    <w:rsid w:val="00541111"/>
    <w:rsid w:val="00541484"/>
    <w:rsid w:val="005419DB"/>
    <w:rsid w:val="005424CD"/>
    <w:rsid w:val="0054276A"/>
    <w:rsid w:val="005428BE"/>
    <w:rsid w:val="00542A58"/>
    <w:rsid w:val="005507A8"/>
    <w:rsid w:val="005516DA"/>
    <w:rsid w:val="00552BB9"/>
    <w:rsid w:val="005541C1"/>
    <w:rsid w:val="00554E01"/>
    <w:rsid w:val="00555057"/>
    <w:rsid w:val="0055664C"/>
    <w:rsid w:val="005571E8"/>
    <w:rsid w:val="005578FF"/>
    <w:rsid w:val="0056239E"/>
    <w:rsid w:val="00562401"/>
    <w:rsid w:val="00563340"/>
    <w:rsid w:val="00564FC3"/>
    <w:rsid w:val="00565BE8"/>
    <w:rsid w:val="005670D2"/>
    <w:rsid w:val="00567764"/>
    <w:rsid w:val="0057102A"/>
    <w:rsid w:val="00571516"/>
    <w:rsid w:val="005715E3"/>
    <w:rsid w:val="00573E06"/>
    <w:rsid w:val="00574AFC"/>
    <w:rsid w:val="00577C3F"/>
    <w:rsid w:val="00580400"/>
    <w:rsid w:val="00581A6A"/>
    <w:rsid w:val="00581E9F"/>
    <w:rsid w:val="0058258E"/>
    <w:rsid w:val="005830E9"/>
    <w:rsid w:val="00584C13"/>
    <w:rsid w:val="00587DA7"/>
    <w:rsid w:val="005921A0"/>
    <w:rsid w:val="005928EC"/>
    <w:rsid w:val="005931F8"/>
    <w:rsid w:val="005937B4"/>
    <w:rsid w:val="005942A6"/>
    <w:rsid w:val="00596B0F"/>
    <w:rsid w:val="00597545"/>
    <w:rsid w:val="005A01C3"/>
    <w:rsid w:val="005A2464"/>
    <w:rsid w:val="005A450C"/>
    <w:rsid w:val="005A6295"/>
    <w:rsid w:val="005A6EE1"/>
    <w:rsid w:val="005B0A81"/>
    <w:rsid w:val="005B2098"/>
    <w:rsid w:val="005B3394"/>
    <w:rsid w:val="005B3C77"/>
    <w:rsid w:val="005B4259"/>
    <w:rsid w:val="005B6074"/>
    <w:rsid w:val="005C16AF"/>
    <w:rsid w:val="005C36E8"/>
    <w:rsid w:val="005C3E52"/>
    <w:rsid w:val="005C4954"/>
    <w:rsid w:val="005D17E5"/>
    <w:rsid w:val="005D4226"/>
    <w:rsid w:val="005D4FFC"/>
    <w:rsid w:val="005D6F58"/>
    <w:rsid w:val="005D74B7"/>
    <w:rsid w:val="005D7840"/>
    <w:rsid w:val="005E1780"/>
    <w:rsid w:val="005E26DE"/>
    <w:rsid w:val="005E3753"/>
    <w:rsid w:val="005E7337"/>
    <w:rsid w:val="005E7442"/>
    <w:rsid w:val="005E7D6C"/>
    <w:rsid w:val="005F0D53"/>
    <w:rsid w:val="005F5059"/>
    <w:rsid w:val="005F7190"/>
    <w:rsid w:val="00600855"/>
    <w:rsid w:val="00602B03"/>
    <w:rsid w:val="00607CF7"/>
    <w:rsid w:val="00610AA3"/>
    <w:rsid w:val="006127B7"/>
    <w:rsid w:val="00612B85"/>
    <w:rsid w:val="00613CBA"/>
    <w:rsid w:val="006147CE"/>
    <w:rsid w:val="00614BAF"/>
    <w:rsid w:val="006173E0"/>
    <w:rsid w:val="00617DA1"/>
    <w:rsid w:val="00620BA7"/>
    <w:rsid w:val="0062288E"/>
    <w:rsid w:val="0062295C"/>
    <w:rsid w:val="006248D7"/>
    <w:rsid w:val="006275D7"/>
    <w:rsid w:val="006315B6"/>
    <w:rsid w:val="00631706"/>
    <w:rsid w:val="00631719"/>
    <w:rsid w:val="00633906"/>
    <w:rsid w:val="006339D7"/>
    <w:rsid w:val="00633BC2"/>
    <w:rsid w:val="0063421E"/>
    <w:rsid w:val="0063449D"/>
    <w:rsid w:val="00634827"/>
    <w:rsid w:val="00634D9C"/>
    <w:rsid w:val="00634F14"/>
    <w:rsid w:val="00635B24"/>
    <w:rsid w:val="00636B39"/>
    <w:rsid w:val="006375BE"/>
    <w:rsid w:val="006432D8"/>
    <w:rsid w:val="00643309"/>
    <w:rsid w:val="00646300"/>
    <w:rsid w:val="00646F24"/>
    <w:rsid w:val="0065116C"/>
    <w:rsid w:val="00653B28"/>
    <w:rsid w:val="00655900"/>
    <w:rsid w:val="00656CEB"/>
    <w:rsid w:val="00656D48"/>
    <w:rsid w:val="00657D44"/>
    <w:rsid w:val="0066145F"/>
    <w:rsid w:val="0066311A"/>
    <w:rsid w:val="00663D81"/>
    <w:rsid w:val="006641E4"/>
    <w:rsid w:val="00665EC4"/>
    <w:rsid w:val="00666EFB"/>
    <w:rsid w:val="00667E7A"/>
    <w:rsid w:val="00670DC1"/>
    <w:rsid w:val="00670F3C"/>
    <w:rsid w:val="00670FB5"/>
    <w:rsid w:val="006768C9"/>
    <w:rsid w:val="00677878"/>
    <w:rsid w:val="00677E9E"/>
    <w:rsid w:val="00681481"/>
    <w:rsid w:val="006873C2"/>
    <w:rsid w:val="006879C2"/>
    <w:rsid w:val="00687FD1"/>
    <w:rsid w:val="006952E6"/>
    <w:rsid w:val="00696760"/>
    <w:rsid w:val="00697924"/>
    <w:rsid w:val="00697F43"/>
    <w:rsid w:val="006A154B"/>
    <w:rsid w:val="006A2459"/>
    <w:rsid w:val="006A27C6"/>
    <w:rsid w:val="006A4D8D"/>
    <w:rsid w:val="006A5ABC"/>
    <w:rsid w:val="006A6286"/>
    <w:rsid w:val="006A6E53"/>
    <w:rsid w:val="006B0CF7"/>
    <w:rsid w:val="006B3DEC"/>
    <w:rsid w:val="006B43BC"/>
    <w:rsid w:val="006B43DE"/>
    <w:rsid w:val="006B450F"/>
    <w:rsid w:val="006B5A59"/>
    <w:rsid w:val="006B5B91"/>
    <w:rsid w:val="006B6DD1"/>
    <w:rsid w:val="006B760B"/>
    <w:rsid w:val="006B7A89"/>
    <w:rsid w:val="006B7BC8"/>
    <w:rsid w:val="006C1780"/>
    <w:rsid w:val="006C1D94"/>
    <w:rsid w:val="006C33D8"/>
    <w:rsid w:val="006C5911"/>
    <w:rsid w:val="006D132E"/>
    <w:rsid w:val="006D51B7"/>
    <w:rsid w:val="006D52E8"/>
    <w:rsid w:val="006D65F5"/>
    <w:rsid w:val="006D6788"/>
    <w:rsid w:val="006D7480"/>
    <w:rsid w:val="006D74FB"/>
    <w:rsid w:val="006D7790"/>
    <w:rsid w:val="006E15AC"/>
    <w:rsid w:val="006E1F6D"/>
    <w:rsid w:val="006E2950"/>
    <w:rsid w:val="006E2C48"/>
    <w:rsid w:val="006E2EB1"/>
    <w:rsid w:val="006E35D1"/>
    <w:rsid w:val="006E392F"/>
    <w:rsid w:val="006E5E4D"/>
    <w:rsid w:val="006E692A"/>
    <w:rsid w:val="006E7B72"/>
    <w:rsid w:val="006E7F96"/>
    <w:rsid w:val="006F1ECA"/>
    <w:rsid w:val="006F5E09"/>
    <w:rsid w:val="006F61A8"/>
    <w:rsid w:val="006F63B6"/>
    <w:rsid w:val="006F6C24"/>
    <w:rsid w:val="006F77B4"/>
    <w:rsid w:val="006F7923"/>
    <w:rsid w:val="00704095"/>
    <w:rsid w:val="00705F6C"/>
    <w:rsid w:val="00706A8E"/>
    <w:rsid w:val="00707394"/>
    <w:rsid w:val="00707436"/>
    <w:rsid w:val="00707FA5"/>
    <w:rsid w:val="00710453"/>
    <w:rsid w:val="007133D4"/>
    <w:rsid w:val="007139F6"/>
    <w:rsid w:val="007151E7"/>
    <w:rsid w:val="00715E30"/>
    <w:rsid w:val="0071665D"/>
    <w:rsid w:val="007173B5"/>
    <w:rsid w:val="00720497"/>
    <w:rsid w:val="0072089E"/>
    <w:rsid w:val="0072286B"/>
    <w:rsid w:val="0072395F"/>
    <w:rsid w:val="007245A0"/>
    <w:rsid w:val="00724DB6"/>
    <w:rsid w:val="00725FBF"/>
    <w:rsid w:val="00727167"/>
    <w:rsid w:val="0073076A"/>
    <w:rsid w:val="00730E44"/>
    <w:rsid w:val="00731580"/>
    <w:rsid w:val="00732A55"/>
    <w:rsid w:val="0073374A"/>
    <w:rsid w:val="00735E8F"/>
    <w:rsid w:val="007447BC"/>
    <w:rsid w:val="00745177"/>
    <w:rsid w:val="00746465"/>
    <w:rsid w:val="0074682C"/>
    <w:rsid w:val="00746C3B"/>
    <w:rsid w:val="00747E89"/>
    <w:rsid w:val="00753824"/>
    <w:rsid w:val="00754467"/>
    <w:rsid w:val="00755303"/>
    <w:rsid w:val="007555AA"/>
    <w:rsid w:val="00756724"/>
    <w:rsid w:val="007575F7"/>
    <w:rsid w:val="00757919"/>
    <w:rsid w:val="007609C8"/>
    <w:rsid w:val="0076163F"/>
    <w:rsid w:val="007619BE"/>
    <w:rsid w:val="00762F4D"/>
    <w:rsid w:val="00763B7F"/>
    <w:rsid w:val="00763E85"/>
    <w:rsid w:val="007662EA"/>
    <w:rsid w:val="00770210"/>
    <w:rsid w:val="00770F4C"/>
    <w:rsid w:val="00770FB3"/>
    <w:rsid w:val="007712A2"/>
    <w:rsid w:val="00772256"/>
    <w:rsid w:val="00777A9E"/>
    <w:rsid w:val="00781D82"/>
    <w:rsid w:val="007915DB"/>
    <w:rsid w:val="0079183B"/>
    <w:rsid w:val="00791A23"/>
    <w:rsid w:val="007942F0"/>
    <w:rsid w:val="00795F48"/>
    <w:rsid w:val="0079687B"/>
    <w:rsid w:val="00796969"/>
    <w:rsid w:val="00796CC4"/>
    <w:rsid w:val="00796D73"/>
    <w:rsid w:val="007A0F60"/>
    <w:rsid w:val="007A1E2C"/>
    <w:rsid w:val="007A2C8F"/>
    <w:rsid w:val="007A351B"/>
    <w:rsid w:val="007A5D5A"/>
    <w:rsid w:val="007A6015"/>
    <w:rsid w:val="007A7F6F"/>
    <w:rsid w:val="007B1523"/>
    <w:rsid w:val="007B1AD5"/>
    <w:rsid w:val="007B2EB0"/>
    <w:rsid w:val="007B64FF"/>
    <w:rsid w:val="007B7EBA"/>
    <w:rsid w:val="007B7F66"/>
    <w:rsid w:val="007C0A02"/>
    <w:rsid w:val="007C411F"/>
    <w:rsid w:val="007C603C"/>
    <w:rsid w:val="007C607A"/>
    <w:rsid w:val="007C713C"/>
    <w:rsid w:val="007C73B9"/>
    <w:rsid w:val="007D1427"/>
    <w:rsid w:val="007D277E"/>
    <w:rsid w:val="007D42FB"/>
    <w:rsid w:val="007D5D2D"/>
    <w:rsid w:val="007D7242"/>
    <w:rsid w:val="007D72BC"/>
    <w:rsid w:val="007D7343"/>
    <w:rsid w:val="007E2A8D"/>
    <w:rsid w:val="007E5089"/>
    <w:rsid w:val="007E582A"/>
    <w:rsid w:val="007E5A34"/>
    <w:rsid w:val="007E629A"/>
    <w:rsid w:val="007E6666"/>
    <w:rsid w:val="007E7D01"/>
    <w:rsid w:val="007F063F"/>
    <w:rsid w:val="007F3379"/>
    <w:rsid w:val="007F448A"/>
    <w:rsid w:val="007F6AC3"/>
    <w:rsid w:val="007F7717"/>
    <w:rsid w:val="00800745"/>
    <w:rsid w:val="00800E57"/>
    <w:rsid w:val="00801738"/>
    <w:rsid w:val="008035DB"/>
    <w:rsid w:val="00804311"/>
    <w:rsid w:val="00804D3E"/>
    <w:rsid w:val="008051FD"/>
    <w:rsid w:val="0080557C"/>
    <w:rsid w:val="00805EAA"/>
    <w:rsid w:val="00806BE9"/>
    <w:rsid w:val="008075C9"/>
    <w:rsid w:val="008129F8"/>
    <w:rsid w:val="00813871"/>
    <w:rsid w:val="00813FA0"/>
    <w:rsid w:val="00815CA6"/>
    <w:rsid w:val="00821AA6"/>
    <w:rsid w:val="00821D80"/>
    <w:rsid w:val="00822778"/>
    <w:rsid w:val="00823EAC"/>
    <w:rsid w:val="00825DA5"/>
    <w:rsid w:val="00826179"/>
    <w:rsid w:val="0082710B"/>
    <w:rsid w:val="00827112"/>
    <w:rsid w:val="00827635"/>
    <w:rsid w:val="00830024"/>
    <w:rsid w:val="00830F6D"/>
    <w:rsid w:val="0083315B"/>
    <w:rsid w:val="00833C79"/>
    <w:rsid w:val="00841EDE"/>
    <w:rsid w:val="0084367A"/>
    <w:rsid w:val="008463FB"/>
    <w:rsid w:val="008504E4"/>
    <w:rsid w:val="00852262"/>
    <w:rsid w:val="00852331"/>
    <w:rsid w:val="0085619F"/>
    <w:rsid w:val="0086049C"/>
    <w:rsid w:val="00861666"/>
    <w:rsid w:val="0086184A"/>
    <w:rsid w:val="00861A5B"/>
    <w:rsid w:val="00861D91"/>
    <w:rsid w:val="0086438C"/>
    <w:rsid w:val="00864AEF"/>
    <w:rsid w:val="00865292"/>
    <w:rsid w:val="00873C30"/>
    <w:rsid w:val="008742F7"/>
    <w:rsid w:val="00874969"/>
    <w:rsid w:val="00876A2B"/>
    <w:rsid w:val="00876E2D"/>
    <w:rsid w:val="00877397"/>
    <w:rsid w:val="00877D10"/>
    <w:rsid w:val="008801D7"/>
    <w:rsid w:val="008805B9"/>
    <w:rsid w:val="00880EE6"/>
    <w:rsid w:val="008825B7"/>
    <w:rsid w:val="008826A0"/>
    <w:rsid w:val="00882B27"/>
    <w:rsid w:val="00883DF4"/>
    <w:rsid w:val="0088476E"/>
    <w:rsid w:val="008853C0"/>
    <w:rsid w:val="00885D45"/>
    <w:rsid w:val="008870C2"/>
    <w:rsid w:val="008902A1"/>
    <w:rsid w:val="008920EA"/>
    <w:rsid w:val="00896CF7"/>
    <w:rsid w:val="008A1556"/>
    <w:rsid w:val="008A2EB3"/>
    <w:rsid w:val="008A5749"/>
    <w:rsid w:val="008A5B6B"/>
    <w:rsid w:val="008A7DD0"/>
    <w:rsid w:val="008A7F8F"/>
    <w:rsid w:val="008B020A"/>
    <w:rsid w:val="008B1FEE"/>
    <w:rsid w:val="008B272D"/>
    <w:rsid w:val="008B376E"/>
    <w:rsid w:val="008B3CF2"/>
    <w:rsid w:val="008B4DD7"/>
    <w:rsid w:val="008B5017"/>
    <w:rsid w:val="008B627B"/>
    <w:rsid w:val="008B76B1"/>
    <w:rsid w:val="008C0362"/>
    <w:rsid w:val="008C26EF"/>
    <w:rsid w:val="008C7C30"/>
    <w:rsid w:val="008C7E81"/>
    <w:rsid w:val="008C7FB8"/>
    <w:rsid w:val="008D3FD2"/>
    <w:rsid w:val="008D5DBC"/>
    <w:rsid w:val="008D6166"/>
    <w:rsid w:val="008E261F"/>
    <w:rsid w:val="008E3AA2"/>
    <w:rsid w:val="008E3AB8"/>
    <w:rsid w:val="008E3FA6"/>
    <w:rsid w:val="008E4527"/>
    <w:rsid w:val="008E4A99"/>
    <w:rsid w:val="008E6935"/>
    <w:rsid w:val="008F22A3"/>
    <w:rsid w:val="008F4223"/>
    <w:rsid w:val="008F425E"/>
    <w:rsid w:val="008F5D09"/>
    <w:rsid w:val="008F6247"/>
    <w:rsid w:val="008F7A35"/>
    <w:rsid w:val="008F7E2C"/>
    <w:rsid w:val="008F7FB3"/>
    <w:rsid w:val="00901466"/>
    <w:rsid w:val="009014ED"/>
    <w:rsid w:val="00902353"/>
    <w:rsid w:val="00904614"/>
    <w:rsid w:val="00906A5A"/>
    <w:rsid w:val="00907862"/>
    <w:rsid w:val="00910620"/>
    <w:rsid w:val="00912DAE"/>
    <w:rsid w:val="00913958"/>
    <w:rsid w:val="00915175"/>
    <w:rsid w:val="0092093E"/>
    <w:rsid w:val="0092127B"/>
    <w:rsid w:val="00922BE2"/>
    <w:rsid w:val="00923C71"/>
    <w:rsid w:val="009241C9"/>
    <w:rsid w:val="009243F8"/>
    <w:rsid w:val="00924E57"/>
    <w:rsid w:val="009318B8"/>
    <w:rsid w:val="00932B3E"/>
    <w:rsid w:val="0093316F"/>
    <w:rsid w:val="00934857"/>
    <w:rsid w:val="00936595"/>
    <w:rsid w:val="00936812"/>
    <w:rsid w:val="009409BC"/>
    <w:rsid w:val="00941610"/>
    <w:rsid w:val="00941712"/>
    <w:rsid w:val="00942415"/>
    <w:rsid w:val="00943960"/>
    <w:rsid w:val="00944713"/>
    <w:rsid w:val="00945B49"/>
    <w:rsid w:val="00947213"/>
    <w:rsid w:val="0094778B"/>
    <w:rsid w:val="00947C75"/>
    <w:rsid w:val="009507F3"/>
    <w:rsid w:val="00950B56"/>
    <w:rsid w:val="00951959"/>
    <w:rsid w:val="00953D84"/>
    <w:rsid w:val="00954EED"/>
    <w:rsid w:val="0095652A"/>
    <w:rsid w:val="009567A8"/>
    <w:rsid w:val="00956AF2"/>
    <w:rsid w:val="009579F3"/>
    <w:rsid w:val="00960A4C"/>
    <w:rsid w:val="00960A81"/>
    <w:rsid w:val="009612CE"/>
    <w:rsid w:val="00961AF3"/>
    <w:rsid w:val="00962695"/>
    <w:rsid w:val="00962751"/>
    <w:rsid w:val="00963086"/>
    <w:rsid w:val="0096370C"/>
    <w:rsid w:val="00963D5C"/>
    <w:rsid w:val="009748F9"/>
    <w:rsid w:val="00975B72"/>
    <w:rsid w:val="00975B93"/>
    <w:rsid w:val="009840BB"/>
    <w:rsid w:val="00985537"/>
    <w:rsid w:val="00986D66"/>
    <w:rsid w:val="0099216A"/>
    <w:rsid w:val="009928E1"/>
    <w:rsid w:val="00993FE2"/>
    <w:rsid w:val="009948C7"/>
    <w:rsid w:val="00994AAA"/>
    <w:rsid w:val="00994BA8"/>
    <w:rsid w:val="00997794"/>
    <w:rsid w:val="009A1EE5"/>
    <w:rsid w:val="009A2957"/>
    <w:rsid w:val="009A5D99"/>
    <w:rsid w:val="009A6B06"/>
    <w:rsid w:val="009A7189"/>
    <w:rsid w:val="009B2078"/>
    <w:rsid w:val="009B27D7"/>
    <w:rsid w:val="009B2E55"/>
    <w:rsid w:val="009B3298"/>
    <w:rsid w:val="009B44A7"/>
    <w:rsid w:val="009C16BD"/>
    <w:rsid w:val="009C1F65"/>
    <w:rsid w:val="009C2CAB"/>
    <w:rsid w:val="009C2F63"/>
    <w:rsid w:val="009C3CEC"/>
    <w:rsid w:val="009C3DAF"/>
    <w:rsid w:val="009C5488"/>
    <w:rsid w:val="009C550B"/>
    <w:rsid w:val="009C6AF0"/>
    <w:rsid w:val="009C79F0"/>
    <w:rsid w:val="009D08B0"/>
    <w:rsid w:val="009D314F"/>
    <w:rsid w:val="009D585B"/>
    <w:rsid w:val="009D5CB9"/>
    <w:rsid w:val="009E040D"/>
    <w:rsid w:val="009E16CB"/>
    <w:rsid w:val="009E411C"/>
    <w:rsid w:val="009E45A8"/>
    <w:rsid w:val="009E5678"/>
    <w:rsid w:val="009F0EFC"/>
    <w:rsid w:val="009F495E"/>
    <w:rsid w:val="009F751A"/>
    <w:rsid w:val="00A00CA8"/>
    <w:rsid w:val="00A0180A"/>
    <w:rsid w:val="00A02536"/>
    <w:rsid w:val="00A0401E"/>
    <w:rsid w:val="00A05CF2"/>
    <w:rsid w:val="00A0614D"/>
    <w:rsid w:val="00A07EB5"/>
    <w:rsid w:val="00A100C3"/>
    <w:rsid w:val="00A117D8"/>
    <w:rsid w:val="00A1407B"/>
    <w:rsid w:val="00A202AF"/>
    <w:rsid w:val="00A23472"/>
    <w:rsid w:val="00A23C00"/>
    <w:rsid w:val="00A30C26"/>
    <w:rsid w:val="00A310FE"/>
    <w:rsid w:val="00A33BDD"/>
    <w:rsid w:val="00A34C7F"/>
    <w:rsid w:val="00A3521D"/>
    <w:rsid w:val="00A35597"/>
    <w:rsid w:val="00A35898"/>
    <w:rsid w:val="00A370DE"/>
    <w:rsid w:val="00A40828"/>
    <w:rsid w:val="00A4376E"/>
    <w:rsid w:val="00A47A6A"/>
    <w:rsid w:val="00A50E7D"/>
    <w:rsid w:val="00A517CF"/>
    <w:rsid w:val="00A51BBE"/>
    <w:rsid w:val="00A53A66"/>
    <w:rsid w:val="00A542BD"/>
    <w:rsid w:val="00A54545"/>
    <w:rsid w:val="00A5462C"/>
    <w:rsid w:val="00A57A51"/>
    <w:rsid w:val="00A57D55"/>
    <w:rsid w:val="00A620DD"/>
    <w:rsid w:val="00A63C3A"/>
    <w:rsid w:val="00A64981"/>
    <w:rsid w:val="00A65E78"/>
    <w:rsid w:val="00A701EF"/>
    <w:rsid w:val="00A72DDD"/>
    <w:rsid w:val="00A731D3"/>
    <w:rsid w:val="00A739B6"/>
    <w:rsid w:val="00A74104"/>
    <w:rsid w:val="00A76987"/>
    <w:rsid w:val="00A77373"/>
    <w:rsid w:val="00A77E34"/>
    <w:rsid w:val="00A82E20"/>
    <w:rsid w:val="00A830DB"/>
    <w:rsid w:val="00A84790"/>
    <w:rsid w:val="00A85ACF"/>
    <w:rsid w:val="00A86609"/>
    <w:rsid w:val="00A8671E"/>
    <w:rsid w:val="00A87449"/>
    <w:rsid w:val="00A87AAC"/>
    <w:rsid w:val="00A87F6F"/>
    <w:rsid w:val="00A90882"/>
    <w:rsid w:val="00A93BF4"/>
    <w:rsid w:val="00A93E75"/>
    <w:rsid w:val="00A96740"/>
    <w:rsid w:val="00A96EED"/>
    <w:rsid w:val="00A97515"/>
    <w:rsid w:val="00AA0C48"/>
    <w:rsid w:val="00AA1815"/>
    <w:rsid w:val="00AA5059"/>
    <w:rsid w:val="00AA51B4"/>
    <w:rsid w:val="00AA76BF"/>
    <w:rsid w:val="00AB1A75"/>
    <w:rsid w:val="00AB1DD2"/>
    <w:rsid w:val="00AB28BE"/>
    <w:rsid w:val="00AB3343"/>
    <w:rsid w:val="00AB36A2"/>
    <w:rsid w:val="00AB36D4"/>
    <w:rsid w:val="00AB5468"/>
    <w:rsid w:val="00AB65AE"/>
    <w:rsid w:val="00AB6B41"/>
    <w:rsid w:val="00AB6C71"/>
    <w:rsid w:val="00AB7680"/>
    <w:rsid w:val="00AC0107"/>
    <w:rsid w:val="00AC1176"/>
    <w:rsid w:val="00AC2A71"/>
    <w:rsid w:val="00AC2CF5"/>
    <w:rsid w:val="00AC4AEA"/>
    <w:rsid w:val="00AC4B79"/>
    <w:rsid w:val="00AC50F3"/>
    <w:rsid w:val="00AC54D8"/>
    <w:rsid w:val="00AC71C3"/>
    <w:rsid w:val="00AC727A"/>
    <w:rsid w:val="00AC7B58"/>
    <w:rsid w:val="00AD1DAD"/>
    <w:rsid w:val="00AD65D5"/>
    <w:rsid w:val="00AD7521"/>
    <w:rsid w:val="00AE2AB3"/>
    <w:rsid w:val="00AE3B76"/>
    <w:rsid w:val="00AE3EC7"/>
    <w:rsid w:val="00AE4242"/>
    <w:rsid w:val="00AE4C74"/>
    <w:rsid w:val="00AE5E2C"/>
    <w:rsid w:val="00AF0EF6"/>
    <w:rsid w:val="00AF1B66"/>
    <w:rsid w:val="00AF2310"/>
    <w:rsid w:val="00AF3F46"/>
    <w:rsid w:val="00AF4C3F"/>
    <w:rsid w:val="00AF4ED9"/>
    <w:rsid w:val="00AF5913"/>
    <w:rsid w:val="00AF5C20"/>
    <w:rsid w:val="00AF62EC"/>
    <w:rsid w:val="00AF6983"/>
    <w:rsid w:val="00AF7444"/>
    <w:rsid w:val="00B02BEE"/>
    <w:rsid w:val="00B0517D"/>
    <w:rsid w:val="00B055D4"/>
    <w:rsid w:val="00B05A43"/>
    <w:rsid w:val="00B060DB"/>
    <w:rsid w:val="00B06A6D"/>
    <w:rsid w:val="00B06DB9"/>
    <w:rsid w:val="00B115AD"/>
    <w:rsid w:val="00B12BD3"/>
    <w:rsid w:val="00B155A8"/>
    <w:rsid w:val="00B15764"/>
    <w:rsid w:val="00B17B7A"/>
    <w:rsid w:val="00B2067C"/>
    <w:rsid w:val="00B2209E"/>
    <w:rsid w:val="00B2326F"/>
    <w:rsid w:val="00B262E4"/>
    <w:rsid w:val="00B30F97"/>
    <w:rsid w:val="00B31498"/>
    <w:rsid w:val="00B31ED3"/>
    <w:rsid w:val="00B34102"/>
    <w:rsid w:val="00B35F9A"/>
    <w:rsid w:val="00B36799"/>
    <w:rsid w:val="00B3682C"/>
    <w:rsid w:val="00B368D9"/>
    <w:rsid w:val="00B36A27"/>
    <w:rsid w:val="00B374F7"/>
    <w:rsid w:val="00B376F4"/>
    <w:rsid w:val="00B402FB"/>
    <w:rsid w:val="00B42822"/>
    <w:rsid w:val="00B428CF"/>
    <w:rsid w:val="00B4576C"/>
    <w:rsid w:val="00B468AF"/>
    <w:rsid w:val="00B47380"/>
    <w:rsid w:val="00B477C9"/>
    <w:rsid w:val="00B53800"/>
    <w:rsid w:val="00B57593"/>
    <w:rsid w:val="00B5789B"/>
    <w:rsid w:val="00B60BE3"/>
    <w:rsid w:val="00B60F48"/>
    <w:rsid w:val="00B61D95"/>
    <w:rsid w:val="00B6306F"/>
    <w:rsid w:val="00B6331E"/>
    <w:rsid w:val="00B63654"/>
    <w:rsid w:val="00B678C6"/>
    <w:rsid w:val="00B67F33"/>
    <w:rsid w:val="00B7472A"/>
    <w:rsid w:val="00B75F92"/>
    <w:rsid w:val="00B767DE"/>
    <w:rsid w:val="00B775E2"/>
    <w:rsid w:val="00B811E0"/>
    <w:rsid w:val="00B823D9"/>
    <w:rsid w:val="00B827D5"/>
    <w:rsid w:val="00B841A9"/>
    <w:rsid w:val="00B8434C"/>
    <w:rsid w:val="00B854AA"/>
    <w:rsid w:val="00B86911"/>
    <w:rsid w:val="00B87A26"/>
    <w:rsid w:val="00B900ED"/>
    <w:rsid w:val="00B907DF"/>
    <w:rsid w:val="00B91291"/>
    <w:rsid w:val="00B927D7"/>
    <w:rsid w:val="00B94A5D"/>
    <w:rsid w:val="00B94EF4"/>
    <w:rsid w:val="00B9677E"/>
    <w:rsid w:val="00B967B5"/>
    <w:rsid w:val="00B96820"/>
    <w:rsid w:val="00BA0DD3"/>
    <w:rsid w:val="00BA1BB8"/>
    <w:rsid w:val="00BA268D"/>
    <w:rsid w:val="00BA33FB"/>
    <w:rsid w:val="00BA4600"/>
    <w:rsid w:val="00BA6B2D"/>
    <w:rsid w:val="00BA6F27"/>
    <w:rsid w:val="00BB013D"/>
    <w:rsid w:val="00BB0623"/>
    <w:rsid w:val="00BB1CE5"/>
    <w:rsid w:val="00BB2D35"/>
    <w:rsid w:val="00BB2F1C"/>
    <w:rsid w:val="00BB5BB4"/>
    <w:rsid w:val="00BB6303"/>
    <w:rsid w:val="00BB7EAF"/>
    <w:rsid w:val="00BC005C"/>
    <w:rsid w:val="00BC1DE3"/>
    <w:rsid w:val="00BC7B48"/>
    <w:rsid w:val="00BC7D72"/>
    <w:rsid w:val="00BD2860"/>
    <w:rsid w:val="00BD35F6"/>
    <w:rsid w:val="00BD53F8"/>
    <w:rsid w:val="00BD6112"/>
    <w:rsid w:val="00BD6EF2"/>
    <w:rsid w:val="00BD78C0"/>
    <w:rsid w:val="00BE0F2B"/>
    <w:rsid w:val="00BE0F97"/>
    <w:rsid w:val="00BE14C7"/>
    <w:rsid w:val="00BE2485"/>
    <w:rsid w:val="00BE2B70"/>
    <w:rsid w:val="00BE34A9"/>
    <w:rsid w:val="00BE4193"/>
    <w:rsid w:val="00BE431D"/>
    <w:rsid w:val="00BE5AAE"/>
    <w:rsid w:val="00BF0B6E"/>
    <w:rsid w:val="00BF2B1C"/>
    <w:rsid w:val="00BF460E"/>
    <w:rsid w:val="00BF4722"/>
    <w:rsid w:val="00BF5398"/>
    <w:rsid w:val="00BF6D76"/>
    <w:rsid w:val="00C0037C"/>
    <w:rsid w:val="00C02AF4"/>
    <w:rsid w:val="00C03995"/>
    <w:rsid w:val="00C045F4"/>
    <w:rsid w:val="00C05EEF"/>
    <w:rsid w:val="00C06592"/>
    <w:rsid w:val="00C0699D"/>
    <w:rsid w:val="00C1076F"/>
    <w:rsid w:val="00C126CD"/>
    <w:rsid w:val="00C16D27"/>
    <w:rsid w:val="00C1798F"/>
    <w:rsid w:val="00C2141E"/>
    <w:rsid w:val="00C223C9"/>
    <w:rsid w:val="00C23730"/>
    <w:rsid w:val="00C242E8"/>
    <w:rsid w:val="00C24D60"/>
    <w:rsid w:val="00C25028"/>
    <w:rsid w:val="00C25B01"/>
    <w:rsid w:val="00C26FA0"/>
    <w:rsid w:val="00C30AD6"/>
    <w:rsid w:val="00C32683"/>
    <w:rsid w:val="00C3290C"/>
    <w:rsid w:val="00C339C5"/>
    <w:rsid w:val="00C34E39"/>
    <w:rsid w:val="00C353E7"/>
    <w:rsid w:val="00C35B61"/>
    <w:rsid w:val="00C37E58"/>
    <w:rsid w:val="00C4066F"/>
    <w:rsid w:val="00C428B2"/>
    <w:rsid w:val="00C43F3E"/>
    <w:rsid w:val="00C44631"/>
    <w:rsid w:val="00C44788"/>
    <w:rsid w:val="00C45317"/>
    <w:rsid w:val="00C46832"/>
    <w:rsid w:val="00C46CDB"/>
    <w:rsid w:val="00C47CF6"/>
    <w:rsid w:val="00C50DAC"/>
    <w:rsid w:val="00C5285C"/>
    <w:rsid w:val="00C52C67"/>
    <w:rsid w:val="00C52E39"/>
    <w:rsid w:val="00C559C5"/>
    <w:rsid w:val="00C5661C"/>
    <w:rsid w:val="00C573C2"/>
    <w:rsid w:val="00C57875"/>
    <w:rsid w:val="00C60E01"/>
    <w:rsid w:val="00C62159"/>
    <w:rsid w:val="00C62AB3"/>
    <w:rsid w:val="00C63504"/>
    <w:rsid w:val="00C65DD3"/>
    <w:rsid w:val="00C67650"/>
    <w:rsid w:val="00C67AC0"/>
    <w:rsid w:val="00C67AC5"/>
    <w:rsid w:val="00C71DB3"/>
    <w:rsid w:val="00C73A37"/>
    <w:rsid w:val="00C7450D"/>
    <w:rsid w:val="00C80223"/>
    <w:rsid w:val="00C80EC0"/>
    <w:rsid w:val="00C8116F"/>
    <w:rsid w:val="00C81806"/>
    <w:rsid w:val="00C81BDD"/>
    <w:rsid w:val="00C84775"/>
    <w:rsid w:val="00C87F79"/>
    <w:rsid w:val="00C923F1"/>
    <w:rsid w:val="00C94023"/>
    <w:rsid w:val="00C953B2"/>
    <w:rsid w:val="00C969B1"/>
    <w:rsid w:val="00CA058C"/>
    <w:rsid w:val="00CA108A"/>
    <w:rsid w:val="00CA128F"/>
    <w:rsid w:val="00CA2821"/>
    <w:rsid w:val="00CA2A7F"/>
    <w:rsid w:val="00CA3B19"/>
    <w:rsid w:val="00CA4FFF"/>
    <w:rsid w:val="00CA51E3"/>
    <w:rsid w:val="00CA5A90"/>
    <w:rsid w:val="00CA6DF8"/>
    <w:rsid w:val="00CA75C6"/>
    <w:rsid w:val="00CA7D81"/>
    <w:rsid w:val="00CB0D50"/>
    <w:rsid w:val="00CB2D89"/>
    <w:rsid w:val="00CB418A"/>
    <w:rsid w:val="00CB484F"/>
    <w:rsid w:val="00CB5DBA"/>
    <w:rsid w:val="00CC0EA7"/>
    <w:rsid w:val="00CC2D33"/>
    <w:rsid w:val="00CC41D0"/>
    <w:rsid w:val="00CC44C0"/>
    <w:rsid w:val="00CC646F"/>
    <w:rsid w:val="00CC6F65"/>
    <w:rsid w:val="00CD153A"/>
    <w:rsid w:val="00CD15BC"/>
    <w:rsid w:val="00CD2BBB"/>
    <w:rsid w:val="00CD3488"/>
    <w:rsid w:val="00CD3779"/>
    <w:rsid w:val="00CD5001"/>
    <w:rsid w:val="00CD7779"/>
    <w:rsid w:val="00CE4A4F"/>
    <w:rsid w:val="00CE5150"/>
    <w:rsid w:val="00CE5191"/>
    <w:rsid w:val="00CE5D79"/>
    <w:rsid w:val="00CE61FC"/>
    <w:rsid w:val="00CE6D88"/>
    <w:rsid w:val="00CE7AF2"/>
    <w:rsid w:val="00CF1FE9"/>
    <w:rsid w:val="00CF22A4"/>
    <w:rsid w:val="00CF4875"/>
    <w:rsid w:val="00CF5B28"/>
    <w:rsid w:val="00CF6F55"/>
    <w:rsid w:val="00D000E4"/>
    <w:rsid w:val="00D05E12"/>
    <w:rsid w:val="00D10447"/>
    <w:rsid w:val="00D106D2"/>
    <w:rsid w:val="00D11459"/>
    <w:rsid w:val="00D122C1"/>
    <w:rsid w:val="00D12DEF"/>
    <w:rsid w:val="00D1353F"/>
    <w:rsid w:val="00D1386B"/>
    <w:rsid w:val="00D1396A"/>
    <w:rsid w:val="00D14824"/>
    <w:rsid w:val="00D14A9E"/>
    <w:rsid w:val="00D1519C"/>
    <w:rsid w:val="00D15781"/>
    <w:rsid w:val="00D159D2"/>
    <w:rsid w:val="00D1638B"/>
    <w:rsid w:val="00D2237D"/>
    <w:rsid w:val="00D22F7D"/>
    <w:rsid w:val="00D244BC"/>
    <w:rsid w:val="00D25BFC"/>
    <w:rsid w:val="00D26F6F"/>
    <w:rsid w:val="00D2741B"/>
    <w:rsid w:val="00D321D6"/>
    <w:rsid w:val="00D33D88"/>
    <w:rsid w:val="00D35107"/>
    <w:rsid w:val="00D36FC6"/>
    <w:rsid w:val="00D375AF"/>
    <w:rsid w:val="00D37AB5"/>
    <w:rsid w:val="00D41AEA"/>
    <w:rsid w:val="00D424F6"/>
    <w:rsid w:val="00D424FE"/>
    <w:rsid w:val="00D43B63"/>
    <w:rsid w:val="00D4559F"/>
    <w:rsid w:val="00D45730"/>
    <w:rsid w:val="00D461B7"/>
    <w:rsid w:val="00D4634D"/>
    <w:rsid w:val="00D50129"/>
    <w:rsid w:val="00D50288"/>
    <w:rsid w:val="00D50C3B"/>
    <w:rsid w:val="00D50D77"/>
    <w:rsid w:val="00D5196B"/>
    <w:rsid w:val="00D545FF"/>
    <w:rsid w:val="00D54BF5"/>
    <w:rsid w:val="00D552BD"/>
    <w:rsid w:val="00D56458"/>
    <w:rsid w:val="00D5709A"/>
    <w:rsid w:val="00D63E65"/>
    <w:rsid w:val="00D6456F"/>
    <w:rsid w:val="00D652CF"/>
    <w:rsid w:val="00D67882"/>
    <w:rsid w:val="00D71D80"/>
    <w:rsid w:val="00D73CB6"/>
    <w:rsid w:val="00D74E58"/>
    <w:rsid w:val="00D76BC6"/>
    <w:rsid w:val="00D818C3"/>
    <w:rsid w:val="00D82CE7"/>
    <w:rsid w:val="00D83861"/>
    <w:rsid w:val="00D8416E"/>
    <w:rsid w:val="00D84C4F"/>
    <w:rsid w:val="00D87138"/>
    <w:rsid w:val="00D90DF7"/>
    <w:rsid w:val="00D912A8"/>
    <w:rsid w:val="00D91FDE"/>
    <w:rsid w:val="00D9200D"/>
    <w:rsid w:val="00D92BF8"/>
    <w:rsid w:val="00D932D2"/>
    <w:rsid w:val="00D94B5B"/>
    <w:rsid w:val="00D94F94"/>
    <w:rsid w:val="00D978FF"/>
    <w:rsid w:val="00D97FF9"/>
    <w:rsid w:val="00DA02C7"/>
    <w:rsid w:val="00DA19F5"/>
    <w:rsid w:val="00DA1A2F"/>
    <w:rsid w:val="00DA2813"/>
    <w:rsid w:val="00DA35C4"/>
    <w:rsid w:val="00DA3A14"/>
    <w:rsid w:val="00DA41EB"/>
    <w:rsid w:val="00DA44AB"/>
    <w:rsid w:val="00DA4533"/>
    <w:rsid w:val="00DA5109"/>
    <w:rsid w:val="00DA6F64"/>
    <w:rsid w:val="00DB13C4"/>
    <w:rsid w:val="00DB1815"/>
    <w:rsid w:val="00DB1BD9"/>
    <w:rsid w:val="00DB202F"/>
    <w:rsid w:val="00DB2FE0"/>
    <w:rsid w:val="00DB523C"/>
    <w:rsid w:val="00DB5FB6"/>
    <w:rsid w:val="00DC1A2F"/>
    <w:rsid w:val="00DC28BA"/>
    <w:rsid w:val="00DC2E25"/>
    <w:rsid w:val="00DC2E40"/>
    <w:rsid w:val="00DC54F3"/>
    <w:rsid w:val="00DC5BBB"/>
    <w:rsid w:val="00DC6C0D"/>
    <w:rsid w:val="00DC6DBB"/>
    <w:rsid w:val="00DC6EC1"/>
    <w:rsid w:val="00DC7146"/>
    <w:rsid w:val="00DC7E74"/>
    <w:rsid w:val="00DD2347"/>
    <w:rsid w:val="00DD34FC"/>
    <w:rsid w:val="00DD4621"/>
    <w:rsid w:val="00DD568D"/>
    <w:rsid w:val="00DD753F"/>
    <w:rsid w:val="00DD77D5"/>
    <w:rsid w:val="00DE07AF"/>
    <w:rsid w:val="00DE21D9"/>
    <w:rsid w:val="00DE2E04"/>
    <w:rsid w:val="00DE381D"/>
    <w:rsid w:val="00DE490C"/>
    <w:rsid w:val="00DE5959"/>
    <w:rsid w:val="00DE65B5"/>
    <w:rsid w:val="00DE7709"/>
    <w:rsid w:val="00DE796E"/>
    <w:rsid w:val="00DF11C0"/>
    <w:rsid w:val="00DF1BA8"/>
    <w:rsid w:val="00DF439B"/>
    <w:rsid w:val="00DF4A4B"/>
    <w:rsid w:val="00DF5240"/>
    <w:rsid w:val="00DF5283"/>
    <w:rsid w:val="00DF55CE"/>
    <w:rsid w:val="00DF66A5"/>
    <w:rsid w:val="00DF7851"/>
    <w:rsid w:val="00DF7F9A"/>
    <w:rsid w:val="00E03553"/>
    <w:rsid w:val="00E04474"/>
    <w:rsid w:val="00E072C2"/>
    <w:rsid w:val="00E1062A"/>
    <w:rsid w:val="00E128FF"/>
    <w:rsid w:val="00E134BD"/>
    <w:rsid w:val="00E14B52"/>
    <w:rsid w:val="00E16F1D"/>
    <w:rsid w:val="00E1799D"/>
    <w:rsid w:val="00E2000D"/>
    <w:rsid w:val="00E20A63"/>
    <w:rsid w:val="00E21646"/>
    <w:rsid w:val="00E21859"/>
    <w:rsid w:val="00E23DC5"/>
    <w:rsid w:val="00E2456B"/>
    <w:rsid w:val="00E24879"/>
    <w:rsid w:val="00E265CE"/>
    <w:rsid w:val="00E26884"/>
    <w:rsid w:val="00E268E9"/>
    <w:rsid w:val="00E30A2A"/>
    <w:rsid w:val="00E31703"/>
    <w:rsid w:val="00E31D34"/>
    <w:rsid w:val="00E337F4"/>
    <w:rsid w:val="00E34439"/>
    <w:rsid w:val="00E3645B"/>
    <w:rsid w:val="00E37115"/>
    <w:rsid w:val="00E37284"/>
    <w:rsid w:val="00E3759E"/>
    <w:rsid w:val="00E4079A"/>
    <w:rsid w:val="00E41219"/>
    <w:rsid w:val="00E413CA"/>
    <w:rsid w:val="00E41A34"/>
    <w:rsid w:val="00E4305F"/>
    <w:rsid w:val="00E508BC"/>
    <w:rsid w:val="00E525AD"/>
    <w:rsid w:val="00E53CC0"/>
    <w:rsid w:val="00E54FA7"/>
    <w:rsid w:val="00E5546F"/>
    <w:rsid w:val="00E574E1"/>
    <w:rsid w:val="00E611E8"/>
    <w:rsid w:val="00E6141F"/>
    <w:rsid w:val="00E61EFB"/>
    <w:rsid w:val="00E63AE5"/>
    <w:rsid w:val="00E64F2B"/>
    <w:rsid w:val="00E64FEA"/>
    <w:rsid w:val="00E65B7C"/>
    <w:rsid w:val="00E66FEB"/>
    <w:rsid w:val="00E707FA"/>
    <w:rsid w:val="00E71E14"/>
    <w:rsid w:val="00E720A2"/>
    <w:rsid w:val="00E73609"/>
    <w:rsid w:val="00E76FF1"/>
    <w:rsid w:val="00E779EC"/>
    <w:rsid w:val="00E85714"/>
    <w:rsid w:val="00E86786"/>
    <w:rsid w:val="00E86C77"/>
    <w:rsid w:val="00E86C82"/>
    <w:rsid w:val="00E87146"/>
    <w:rsid w:val="00E87E0B"/>
    <w:rsid w:val="00E91491"/>
    <w:rsid w:val="00E91BC5"/>
    <w:rsid w:val="00E92FF9"/>
    <w:rsid w:val="00E95A65"/>
    <w:rsid w:val="00E97CAA"/>
    <w:rsid w:val="00EA0CF8"/>
    <w:rsid w:val="00EA174D"/>
    <w:rsid w:val="00EA3879"/>
    <w:rsid w:val="00EA5533"/>
    <w:rsid w:val="00EA590F"/>
    <w:rsid w:val="00EA5B9D"/>
    <w:rsid w:val="00EA5C08"/>
    <w:rsid w:val="00EA6867"/>
    <w:rsid w:val="00EA6ADF"/>
    <w:rsid w:val="00EB1F70"/>
    <w:rsid w:val="00EB412B"/>
    <w:rsid w:val="00EB61EE"/>
    <w:rsid w:val="00EB664A"/>
    <w:rsid w:val="00EB7D18"/>
    <w:rsid w:val="00EC20D0"/>
    <w:rsid w:val="00EC368D"/>
    <w:rsid w:val="00EC3B7C"/>
    <w:rsid w:val="00EC3D97"/>
    <w:rsid w:val="00EC56B8"/>
    <w:rsid w:val="00EC5922"/>
    <w:rsid w:val="00EC6245"/>
    <w:rsid w:val="00EC6E75"/>
    <w:rsid w:val="00ED022C"/>
    <w:rsid w:val="00ED05B3"/>
    <w:rsid w:val="00ED0E91"/>
    <w:rsid w:val="00ED1033"/>
    <w:rsid w:val="00ED16DC"/>
    <w:rsid w:val="00ED1A24"/>
    <w:rsid w:val="00ED2692"/>
    <w:rsid w:val="00ED3B44"/>
    <w:rsid w:val="00ED45A0"/>
    <w:rsid w:val="00ED47A6"/>
    <w:rsid w:val="00EE0F73"/>
    <w:rsid w:val="00EE0FF1"/>
    <w:rsid w:val="00EE2FFE"/>
    <w:rsid w:val="00EE6B76"/>
    <w:rsid w:val="00EE74C7"/>
    <w:rsid w:val="00EE798A"/>
    <w:rsid w:val="00EF00AD"/>
    <w:rsid w:val="00EF0186"/>
    <w:rsid w:val="00EF0B09"/>
    <w:rsid w:val="00EF14AC"/>
    <w:rsid w:val="00EF22D3"/>
    <w:rsid w:val="00EF24EA"/>
    <w:rsid w:val="00EF25F3"/>
    <w:rsid w:val="00EF7AA9"/>
    <w:rsid w:val="00F00348"/>
    <w:rsid w:val="00F02163"/>
    <w:rsid w:val="00F029D4"/>
    <w:rsid w:val="00F044DF"/>
    <w:rsid w:val="00F05A3B"/>
    <w:rsid w:val="00F06131"/>
    <w:rsid w:val="00F0687B"/>
    <w:rsid w:val="00F078A5"/>
    <w:rsid w:val="00F10074"/>
    <w:rsid w:val="00F12438"/>
    <w:rsid w:val="00F15B96"/>
    <w:rsid w:val="00F20DCE"/>
    <w:rsid w:val="00F21962"/>
    <w:rsid w:val="00F228F7"/>
    <w:rsid w:val="00F243EF"/>
    <w:rsid w:val="00F2473D"/>
    <w:rsid w:val="00F247AB"/>
    <w:rsid w:val="00F26BD2"/>
    <w:rsid w:val="00F315A4"/>
    <w:rsid w:val="00F316D8"/>
    <w:rsid w:val="00F32FD5"/>
    <w:rsid w:val="00F36DF5"/>
    <w:rsid w:val="00F40678"/>
    <w:rsid w:val="00F42AB6"/>
    <w:rsid w:val="00F42E72"/>
    <w:rsid w:val="00F44719"/>
    <w:rsid w:val="00F44B7B"/>
    <w:rsid w:val="00F450CE"/>
    <w:rsid w:val="00F458BF"/>
    <w:rsid w:val="00F45EC4"/>
    <w:rsid w:val="00F46B4F"/>
    <w:rsid w:val="00F46EBD"/>
    <w:rsid w:val="00F47609"/>
    <w:rsid w:val="00F508D0"/>
    <w:rsid w:val="00F50FBF"/>
    <w:rsid w:val="00F530AA"/>
    <w:rsid w:val="00F53FC4"/>
    <w:rsid w:val="00F54A08"/>
    <w:rsid w:val="00F56BDA"/>
    <w:rsid w:val="00F57C09"/>
    <w:rsid w:val="00F611C1"/>
    <w:rsid w:val="00F61379"/>
    <w:rsid w:val="00F6226A"/>
    <w:rsid w:val="00F62511"/>
    <w:rsid w:val="00F64DF3"/>
    <w:rsid w:val="00F65371"/>
    <w:rsid w:val="00F66194"/>
    <w:rsid w:val="00F6777E"/>
    <w:rsid w:val="00F67AE8"/>
    <w:rsid w:val="00F70A1F"/>
    <w:rsid w:val="00F71021"/>
    <w:rsid w:val="00F7251E"/>
    <w:rsid w:val="00F737F3"/>
    <w:rsid w:val="00F73ACA"/>
    <w:rsid w:val="00F74A71"/>
    <w:rsid w:val="00F76A62"/>
    <w:rsid w:val="00F8291E"/>
    <w:rsid w:val="00F83C22"/>
    <w:rsid w:val="00F83EA0"/>
    <w:rsid w:val="00F8679D"/>
    <w:rsid w:val="00F90FF3"/>
    <w:rsid w:val="00F92A0C"/>
    <w:rsid w:val="00F94635"/>
    <w:rsid w:val="00F94A83"/>
    <w:rsid w:val="00F956AE"/>
    <w:rsid w:val="00F95E96"/>
    <w:rsid w:val="00F96087"/>
    <w:rsid w:val="00F97180"/>
    <w:rsid w:val="00F97638"/>
    <w:rsid w:val="00FA03C2"/>
    <w:rsid w:val="00FA2913"/>
    <w:rsid w:val="00FA2A17"/>
    <w:rsid w:val="00FA483A"/>
    <w:rsid w:val="00FA63F5"/>
    <w:rsid w:val="00FA7884"/>
    <w:rsid w:val="00FB0BA1"/>
    <w:rsid w:val="00FB1440"/>
    <w:rsid w:val="00FB175A"/>
    <w:rsid w:val="00FB2142"/>
    <w:rsid w:val="00FB49BD"/>
    <w:rsid w:val="00FB5832"/>
    <w:rsid w:val="00FB6C6E"/>
    <w:rsid w:val="00FB7B8A"/>
    <w:rsid w:val="00FC0506"/>
    <w:rsid w:val="00FC19F4"/>
    <w:rsid w:val="00FC1F16"/>
    <w:rsid w:val="00FC5E48"/>
    <w:rsid w:val="00FD27E6"/>
    <w:rsid w:val="00FD2A52"/>
    <w:rsid w:val="00FD2DC1"/>
    <w:rsid w:val="00FD412C"/>
    <w:rsid w:val="00FD5237"/>
    <w:rsid w:val="00FD57CE"/>
    <w:rsid w:val="00FD6771"/>
    <w:rsid w:val="00FD6B0D"/>
    <w:rsid w:val="00FD7C42"/>
    <w:rsid w:val="00FE14EE"/>
    <w:rsid w:val="00FE3F38"/>
    <w:rsid w:val="00FE3FB7"/>
    <w:rsid w:val="00FE5909"/>
    <w:rsid w:val="00FE5C95"/>
    <w:rsid w:val="00FE6960"/>
    <w:rsid w:val="00FE72B7"/>
    <w:rsid w:val="00FE7A9F"/>
    <w:rsid w:val="00FF0320"/>
    <w:rsid w:val="00FF1CB1"/>
    <w:rsid w:val="00FF5022"/>
    <w:rsid w:val="00FF5949"/>
    <w:rsid w:val="00FF679D"/>
    <w:rsid w:val="00FF73BF"/>
    <w:rsid w:val="35031DF4"/>
    <w:rsid w:val="48D56CA5"/>
    <w:rsid w:val="55A27110"/>
    <w:rsid w:val="63EF10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99"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3"/>
    <w:qFormat/>
    <w:uiPriority w:val="0"/>
    <w:pPr>
      <w:keepNext/>
      <w:keepLines/>
      <w:spacing w:before="260" w:after="260" w:line="416" w:lineRule="auto"/>
      <w:outlineLvl w:val="1"/>
    </w:pPr>
    <w:rPr>
      <w:rFonts w:ascii="Arial" w:hAnsi="Arial" w:eastAsia="黑体"/>
      <w:b/>
      <w:sz w:val="32"/>
      <w:szCs w:val="20"/>
    </w:rPr>
  </w:style>
  <w:style w:type="paragraph" w:styleId="4">
    <w:name w:val="heading 3"/>
    <w:basedOn w:val="1"/>
    <w:next w:val="1"/>
    <w:link w:val="45"/>
    <w:semiHidden/>
    <w:unhideWhenUsed/>
    <w:qFormat/>
    <w:uiPriority w:val="0"/>
    <w:pPr>
      <w:keepNext/>
      <w:keepLines/>
      <w:spacing w:before="260" w:after="260" w:line="416" w:lineRule="auto"/>
      <w:outlineLvl w:val="2"/>
    </w:pPr>
    <w:rPr>
      <w:b/>
      <w:bCs/>
      <w:sz w:val="32"/>
      <w:szCs w:val="32"/>
    </w:rPr>
  </w:style>
  <w:style w:type="character" w:default="1" w:styleId="26">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ind w:firstLine="420" w:firstLineChars="200"/>
    </w:pPr>
  </w:style>
  <w:style w:type="paragraph" w:styleId="5">
    <w:name w:val="toc 7"/>
    <w:basedOn w:val="1"/>
    <w:next w:val="1"/>
    <w:semiHidden/>
    <w:uiPriority w:val="0"/>
    <w:pPr>
      <w:ind w:left="2520" w:leftChars="1200"/>
    </w:pPr>
  </w:style>
  <w:style w:type="paragraph" w:styleId="6">
    <w:name w:val="annotation text"/>
    <w:basedOn w:val="1"/>
    <w:link w:val="40"/>
    <w:qFormat/>
    <w:uiPriority w:val="0"/>
    <w:pPr>
      <w:jc w:val="left"/>
    </w:pPr>
  </w:style>
  <w:style w:type="paragraph" w:styleId="7">
    <w:name w:val="Body Text"/>
    <w:basedOn w:val="1"/>
    <w:qFormat/>
    <w:uiPriority w:val="0"/>
    <w:pPr>
      <w:spacing w:line="360" w:lineRule="auto"/>
    </w:pPr>
    <w:rPr>
      <w:rFonts w:ascii="仿宋_GB2312" w:eastAsia="仿宋_GB2312"/>
      <w:color w:val="000000"/>
      <w:kern w:val="0"/>
      <w:sz w:val="24"/>
      <w:szCs w:val="28"/>
    </w:rPr>
  </w:style>
  <w:style w:type="paragraph" w:styleId="8">
    <w:name w:val="Body Text Indent"/>
    <w:basedOn w:val="1"/>
    <w:qFormat/>
    <w:uiPriority w:val="0"/>
    <w:pPr>
      <w:adjustRightInd w:val="0"/>
      <w:snapToGrid w:val="0"/>
      <w:spacing w:line="560" w:lineRule="exact"/>
      <w:ind w:firstLine="480" w:firstLineChars="200"/>
    </w:pPr>
    <w:rPr>
      <w:rFonts w:eastAsia="方正仿宋简体"/>
      <w:sz w:val="24"/>
      <w:szCs w:val="30"/>
    </w:rPr>
  </w:style>
  <w:style w:type="paragraph" w:styleId="9">
    <w:name w:val="toc 5"/>
    <w:basedOn w:val="1"/>
    <w:next w:val="1"/>
    <w:semiHidden/>
    <w:qFormat/>
    <w:uiPriority w:val="0"/>
    <w:pPr>
      <w:ind w:left="1680" w:leftChars="800"/>
    </w:pPr>
  </w:style>
  <w:style w:type="paragraph" w:styleId="10">
    <w:name w:val="toc 3"/>
    <w:basedOn w:val="1"/>
    <w:next w:val="1"/>
    <w:semiHidden/>
    <w:qFormat/>
    <w:uiPriority w:val="0"/>
    <w:pPr>
      <w:ind w:left="840" w:leftChars="400"/>
    </w:pPr>
  </w:style>
  <w:style w:type="paragraph" w:styleId="11">
    <w:name w:val="toc 8"/>
    <w:basedOn w:val="1"/>
    <w:next w:val="1"/>
    <w:semiHidden/>
    <w:qFormat/>
    <w:uiPriority w:val="0"/>
    <w:pPr>
      <w:ind w:left="2940" w:leftChars="1400"/>
    </w:pPr>
  </w:style>
  <w:style w:type="paragraph" w:styleId="12">
    <w:name w:val="Body Text Indent 2"/>
    <w:basedOn w:val="1"/>
    <w:qFormat/>
    <w:uiPriority w:val="0"/>
    <w:pPr>
      <w:spacing w:line="360" w:lineRule="auto"/>
      <w:ind w:firstLine="525"/>
    </w:pPr>
    <w:rPr>
      <w:rFonts w:ascii="宋体" w:hAnsi="宋体"/>
      <w:sz w:val="28"/>
      <w:szCs w:val="20"/>
    </w:rPr>
  </w:style>
  <w:style w:type="paragraph" w:styleId="13">
    <w:name w:val="Balloon Text"/>
    <w:basedOn w:val="1"/>
    <w:semiHidden/>
    <w:qFormat/>
    <w:uiPriority w:val="0"/>
    <w:rPr>
      <w:sz w:val="18"/>
      <w:szCs w:val="18"/>
    </w:rPr>
  </w:style>
  <w:style w:type="paragraph" w:styleId="14">
    <w:name w:val="footer"/>
    <w:basedOn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semiHidden/>
    <w:qFormat/>
    <w:uiPriority w:val="0"/>
  </w:style>
  <w:style w:type="paragraph" w:styleId="17">
    <w:name w:val="toc 4"/>
    <w:basedOn w:val="1"/>
    <w:next w:val="1"/>
    <w:semiHidden/>
    <w:qFormat/>
    <w:uiPriority w:val="0"/>
    <w:pPr>
      <w:ind w:left="1260" w:leftChars="600"/>
    </w:pPr>
  </w:style>
  <w:style w:type="paragraph" w:styleId="18">
    <w:name w:val="toc 6"/>
    <w:basedOn w:val="1"/>
    <w:next w:val="1"/>
    <w:semiHidden/>
    <w:qFormat/>
    <w:uiPriority w:val="0"/>
    <w:pPr>
      <w:ind w:left="2100" w:leftChars="1000"/>
    </w:pPr>
  </w:style>
  <w:style w:type="paragraph" w:styleId="19">
    <w:name w:val="Body Text Indent 3"/>
    <w:basedOn w:val="1"/>
    <w:qFormat/>
    <w:uiPriority w:val="0"/>
    <w:pPr>
      <w:adjustRightInd w:val="0"/>
      <w:snapToGrid w:val="0"/>
      <w:ind w:firstLine="480" w:firstLineChars="200"/>
    </w:pPr>
    <w:rPr>
      <w:rFonts w:ascii="仿宋_GB2312" w:hAnsi="宋体" w:eastAsia="仿宋_GB2312" w:cs="Arial"/>
      <w:color w:val="000000"/>
      <w:sz w:val="24"/>
    </w:rPr>
  </w:style>
  <w:style w:type="paragraph" w:styleId="20">
    <w:name w:val="toc 2"/>
    <w:basedOn w:val="1"/>
    <w:next w:val="1"/>
    <w:semiHidden/>
    <w:qFormat/>
    <w:uiPriority w:val="0"/>
    <w:pPr>
      <w:ind w:left="420" w:leftChars="200"/>
    </w:pPr>
  </w:style>
  <w:style w:type="paragraph" w:styleId="21">
    <w:name w:val="toc 9"/>
    <w:basedOn w:val="1"/>
    <w:next w:val="1"/>
    <w:semiHidden/>
    <w:qFormat/>
    <w:uiPriority w:val="0"/>
    <w:pPr>
      <w:ind w:left="3360" w:leftChars="1600"/>
    </w:pPr>
  </w:style>
  <w:style w:type="paragraph" w:styleId="22">
    <w:name w:val="HTML Preformatted"/>
    <w:basedOn w:val="1"/>
    <w:link w:val="39"/>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23">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styleId="24">
    <w:name w:val="annotation subject"/>
    <w:basedOn w:val="6"/>
    <w:next w:val="6"/>
    <w:link w:val="41"/>
    <w:qFormat/>
    <w:uiPriority w:val="0"/>
    <w:rPr>
      <w:b/>
      <w:bCs/>
    </w:rPr>
  </w:style>
  <w:style w:type="character" w:styleId="27">
    <w:name w:val="Strong"/>
    <w:basedOn w:val="26"/>
    <w:qFormat/>
    <w:uiPriority w:val="0"/>
    <w:rPr>
      <w:b/>
      <w:bCs/>
    </w:rPr>
  </w:style>
  <w:style w:type="character" w:styleId="28">
    <w:name w:val="page number"/>
    <w:basedOn w:val="26"/>
    <w:qFormat/>
    <w:uiPriority w:val="0"/>
  </w:style>
  <w:style w:type="character" w:styleId="29">
    <w:name w:val="FollowedHyperlink"/>
    <w:basedOn w:val="26"/>
    <w:qFormat/>
    <w:uiPriority w:val="0"/>
    <w:rPr>
      <w:color w:val="800080"/>
      <w:u w:val="single"/>
    </w:rPr>
  </w:style>
  <w:style w:type="character" w:styleId="30">
    <w:name w:val="Hyperlink"/>
    <w:basedOn w:val="26"/>
    <w:qFormat/>
    <w:uiPriority w:val="0"/>
    <w:rPr>
      <w:color w:val="0000FF"/>
      <w:u w:val="single"/>
    </w:rPr>
  </w:style>
  <w:style w:type="character" w:styleId="31">
    <w:name w:val="annotation reference"/>
    <w:basedOn w:val="26"/>
    <w:qFormat/>
    <w:uiPriority w:val="0"/>
    <w:rPr>
      <w:sz w:val="21"/>
      <w:szCs w:val="21"/>
    </w:rPr>
  </w:style>
  <w:style w:type="paragraph" w:customStyle="1" w:styleId="32">
    <w:name w:val="wz1"/>
    <w:basedOn w:val="1"/>
    <w:qFormat/>
    <w:uiPriority w:val="0"/>
    <w:pPr>
      <w:widowControl/>
      <w:spacing w:before="100" w:beforeAutospacing="1" w:after="100" w:afterAutospacing="1" w:line="245" w:lineRule="atLeast"/>
      <w:jc w:val="left"/>
    </w:pPr>
    <w:rPr>
      <w:rFonts w:ascii="Arial Unicode MS" w:hAnsi="Arial Unicode MS" w:eastAsia="Arial Unicode MS" w:cs="Arial Unicode MS"/>
      <w:color w:val="CC0000"/>
      <w:kern w:val="0"/>
      <w:sz w:val="22"/>
      <w:szCs w:val="22"/>
    </w:rPr>
  </w:style>
  <w:style w:type="character" w:customStyle="1" w:styleId="33">
    <w:name w:val="read"/>
    <w:basedOn w:val="26"/>
    <w:qFormat/>
    <w:uiPriority w:val="0"/>
  </w:style>
  <w:style w:type="paragraph" w:customStyle="1" w:styleId="34">
    <w:name w:val="Char"/>
    <w:basedOn w:val="1"/>
    <w:qFormat/>
    <w:uiPriority w:val="0"/>
  </w:style>
  <w:style w:type="paragraph" w:customStyle="1" w:styleId="35">
    <w:name w:val="Char1"/>
    <w:basedOn w:val="1"/>
    <w:qFormat/>
    <w:uiPriority w:val="0"/>
    <w:pPr>
      <w:tabs>
        <w:tab w:val="left" w:pos="832"/>
      </w:tabs>
      <w:ind w:left="832" w:hanging="420"/>
      <w:jc w:val="center"/>
    </w:pPr>
    <w:rPr>
      <w:rFonts w:ascii="楷体_GB2312" w:eastAsia="楷体_GB2312"/>
      <w:b/>
      <w:color w:val="000080"/>
      <w:sz w:val="30"/>
      <w:szCs w:val="30"/>
    </w:rPr>
  </w:style>
  <w:style w:type="paragraph" w:customStyle="1" w:styleId="36">
    <w:name w:val="Char Char Char"/>
    <w:basedOn w:val="1"/>
    <w:qFormat/>
    <w:uiPriority w:val="0"/>
  </w:style>
  <w:style w:type="paragraph" w:customStyle="1" w:styleId="37">
    <w:name w:val="Char Char Char Char Char Char Char1 Char Char Char Char Char Char"/>
    <w:basedOn w:val="1"/>
    <w:qFormat/>
    <w:uiPriority w:val="0"/>
  </w:style>
  <w:style w:type="paragraph" w:customStyle="1" w:styleId="38">
    <w:name w:val="Char Char"/>
    <w:basedOn w:val="1"/>
    <w:qFormat/>
    <w:uiPriority w:val="0"/>
    <w:rPr>
      <w:szCs w:val="20"/>
    </w:rPr>
  </w:style>
  <w:style w:type="character" w:customStyle="1" w:styleId="39">
    <w:name w:val="HTML 预设格式 字符"/>
    <w:basedOn w:val="26"/>
    <w:link w:val="22"/>
    <w:qFormat/>
    <w:uiPriority w:val="99"/>
    <w:rPr>
      <w:rFonts w:ascii="宋体" w:hAnsi="宋体" w:cs="宋体"/>
      <w:sz w:val="24"/>
      <w:szCs w:val="24"/>
    </w:rPr>
  </w:style>
  <w:style w:type="character" w:customStyle="1" w:styleId="40">
    <w:name w:val="批注文字 字符"/>
    <w:basedOn w:val="26"/>
    <w:link w:val="6"/>
    <w:qFormat/>
    <w:uiPriority w:val="0"/>
    <w:rPr>
      <w:kern w:val="2"/>
      <w:sz w:val="21"/>
      <w:szCs w:val="24"/>
    </w:rPr>
  </w:style>
  <w:style w:type="character" w:customStyle="1" w:styleId="41">
    <w:name w:val="批注主题 字符"/>
    <w:basedOn w:val="40"/>
    <w:link w:val="24"/>
    <w:qFormat/>
    <w:uiPriority w:val="0"/>
    <w:rPr>
      <w:kern w:val="2"/>
      <w:sz w:val="21"/>
      <w:szCs w:val="24"/>
    </w:rPr>
  </w:style>
  <w:style w:type="paragraph" w:customStyle="1" w:styleId="4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styleId="43">
    <w:name w:val="List Paragraph"/>
    <w:basedOn w:val="1"/>
    <w:qFormat/>
    <w:uiPriority w:val="34"/>
    <w:pPr>
      <w:ind w:firstLine="420" w:firstLineChars="200"/>
    </w:pPr>
    <w:rPr>
      <w:rFonts w:ascii="Calibri" w:hAnsi="Calibri"/>
      <w:szCs w:val="22"/>
    </w:rPr>
  </w:style>
  <w:style w:type="paragraph" w:customStyle="1" w:styleId="44">
    <w:name w:val="修订1"/>
    <w:hidden/>
    <w:semiHidden/>
    <w:qFormat/>
    <w:uiPriority w:val="99"/>
    <w:rPr>
      <w:rFonts w:ascii="Times New Roman" w:hAnsi="Times New Roman" w:eastAsia="宋体" w:cs="Times New Roman"/>
      <w:kern w:val="2"/>
      <w:sz w:val="21"/>
      <w:szCs w:val="24"/>
      <w:lang w:val="en-US" w:eastAsia="zh-CN" w:bidi="ar-SA"/>
    </w:rPr>
  </w:style>
  <w:style w:type="character" w:customStyle="1" w:styleId="45">
    <w:name w:val="标题 3 字符"/>
    <w:basedOn w:val="26"/>
    <w:link w:val="4"/>
    <w:semiHidden/>
    <w:qFormat/>
    <w:uiPriority w:val="0"/>
    <w:rPr>
      <w:b/>
      <w:bCs/>
      <w:kern w:val="2"/>
      <w:sz w:val="32"/>
      <w:szCs w:val="32"/>
    </w:rPr>
  </w:style>
  <w:style w:type="paragraph" w:customStyle="1" w:styleId="46">
    <w:name w:val="_Style 6"/>
    <w:basedOn w:val="1"/>
    <w:next w:val="1"/>
    <w:qFormat/>
    <w:uiPriority w:val="0"/>
    <w:pPr>
      <w:adjustRightInd w:val="0"/>
      <w:snapToGrid w:val="0"/>
      <w:ind w:firstLine="480" w:firstLineChars="200"/>
    </w:pPr>
    <w:rPr>
      <w:rFonts w:ascii="仿宋_GB2312" w:hAnsi="宋体" w:eastAsia="仿宋_GB2312"/>
      <w:color w:val="000000"/>
      <w:sz w:val="24"/>
      <w:szCs w:val="20"/>
    </w:rPr>
  </w:style>
  <w:style w:type="paragraph" w:customStyle="1" w:styleId="47">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6A76AD-7AD2-412B-B7DA-E1E16F87FC66}">
  <ds:schemaRefs/>
</ds:datastoreItem>
</file>

<file path=docProps/app.xml><?xml version="1.0" encoding="utf-8"?>
<Properties xmlns="http://schemas.openxmlformats.org/officeDocument/2006/extended-properties" xmlns:vt="http://schemas.openxmlformats.org/officeDocument/2006/docPropsVTypes">
  <Template>Normal</Template>
  <Company>Microsoft China</Company>
  <Pages>53</Pages>
  <Words>5309</Words>
  <Characters>30264</Characters>
  <Lines>252</Lines>
  <Paragraphs>71</Paragraphs>
  <TotalTime>40</TotalTime>
  <ScaleCrop>false</ScaleCrop>
  <LinksUpToDate>false</LinksUpToDate>
  <CharactersWithSpaces>35502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2026-01-22T08:34:00Z</dcterms:created>
  <dc:creator>张钦</dc:creator>
  <cp:lastModifiedBy>邓喆</cp:lastModifiedBy>
  <cp:lastPrinted>2026-04-14T05:52:00Z</cp:lastPrinted>
  <dcterms:modified xsi:type="dcterms:W3CDTF">2026-08-10T06:26:43Z</dcterms:modified>
  <cp:revision>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CF7C584B70B7418E9157293F904577FD</vt:lpwstr>
  </property>
</Properties>
</file>