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7C3C63" w14:textId="77777777" w:rsidR="00FB20DE" w:rsidRPr="00F47BA9" w:rsidRDefault="00FB20DE">
      <w:pPr>
        <w:spacing w:after="156" w:line="500" w:lineRule="exact"/>
        <w:jc w:val="center"/>
        <w:rPr>
          <w:rFonts w:ascii="Times New Roman" w:eastAsia="仿宋" w:hAnsi="Times New Roman"/>
          <w:b/>
          <w:bCs/>
          <w:sz w:val="48"/>
          <w:szCs w:val="48"/>
        </w:rPr>
      </w:pPr>
    </w:p>
    <w:p w14:paraId="55257A3B" w14:textId="77777777" w:rsidR="00FB20DE" w:rsidRPr="00F47BA9" w:rsidRDefault="00FB20DE">
      <w:pPr>
        <w:spacing w:after="156" w:line="500" w:lineRule="exact"/>
        <w:jc w:val="center"/>
        <w:rPr>
          <w:rFonts w:ascii="Times New Roman" w:eastAsia="仿宋" w:hAnsi="Times New Roman"/>
          <w:b/>
          <w:bCs/>
          <w:sz w:val="48"/>
          <w:szCs w:val="48"/>
        </w:rPr>
      </w:pPr>
    </w:p>
    <w:p w14:paraId="19CF023A" w14:textId="77777777" w:rsidR="00FB20DE" w:rsidRPr="00F47BA9" w:rsidRDefault="00FB20DE">
      <w:pPr>
        <w:spacing w:after="156" w:line="500" w:lineRule="exact"/>
        <w:jc w:val="center"/>
        <w:rPr>
          <w:rFonts w:ascii="Times New Roman" w:eastAsia="仿宋" w:hAnsi="Times New Roman"/>
          <w:b/>
          <w:bCs/>
          <w:sz w:val="48"/>
          <w:szCs w:val="48"/>
        </w:rPr>
      </w:pPr>
    </w:p>
    <w:p w14:paraId="359527EA" w14:textId="77777777" w:rsidR="00FB20DE" w:rsidRPr="00F47BA9" w:rsidRDefault="00FB20DE">
      <w:pPr>
        <w:spacing w:after="156" w:line="500" w:lineRule="exact"/>
        <w:jc w:val="center"/>
        <w:rPr>
          <w:rFonts w:ascii="Times New Roman" w:eastAsia="仿宋" w:hAnsi="Times New Roman"/>
          <w:b/>
          <w:bCs/>
          <w:sz w:val="48"/>
          <w:szCs w:val="48"/>
        </w:rPr>
      </w:pPr>
      <w:bookmarkStart w:id="0" w:name="_GoBack"/>
      <w:bookmarkEnd w:id="0"/>
    </w:p>
    <w:p w14:paraId="3629025E" w14:textId="77777777" w:rsidR="00FB20DE" w:rsidRPr="00F47BA9" w:rsidRDefault="00FB20DE">
      <w:pPr>
        <w:spacing w:after="156" w:line="500" w:lineRule="exact"/>
        <w:jc w:val="center"/>
        <w:rPr>
          <w:rFonts w:ascii="Times New Roman" w:eastAsia="仿宋" w:hAnsi="Times New Roman"/>
          <w:b/>
          <w:bCs/>
          <w:sz w:val="48"/>
          <w:szCs w:val="48"/>
        </w:rPr>
      </w:pPr>
    </w:p>
    <w:p w14:paraId="5E4C9921" w14:textId="77777777" w:rsidR="00FB20DE" w:rsidRPr="00F47BA9" w:rsidRDefault="00A6695E">
      <w:pPr>
        <w:spacing w:after="0" w:line="360" w:lineRule="auto"/>
        <w:jc w:val="center"/>
        <w:rPr>
          <w:rFonts w:ascii="Times New Roman" w:eastAsia="仿宋" w:hAnsi="Times New Roman"/>
          <w:b/>
          <w:bCs/>
          <w:sz w:val="44"/>
          <w:szCs w:val="44"/>
          <w:lang w:eastAsia="zh-CN"/>
        </w:rPr>
      </w:pPr>
      <w:proofErr w:type="gramStart"/>
      <w:r w:rsidRPr="00F47BA9">
        <w:rPr>
          <w:rFonts w:ascii="Times New Roman" w:eastAsia="仿宋" w:hAnsi="Times New Roman" w:hint="eastAsia"/>
          <w:b/>
          <w:bCs/>
          <w:sz w:val="44"/>
          <w:szCs w:val="44"/>
          <w:lang w:eastAsia="zh-CN"/>
        </w:rPr>
        <w:t>鑫</w:t>
      </w:r>
      <w:proofErr w:type="gramEnd"/>
      <w:r w:rsidRPr="00F47BA9">
        <w:rPr>
          <w:rFonts w:ascii="Times New Roman" w:eastAsia="仿宋" w:hAnsi="Times New Roman" w:hint="eastAsia"/>
          <w:b/>
          <w:bCs/>
          <w:sz w:val="44"/>
          <w:szCs w:val="44"/>
          <w:lang w:eastAsia="zh-CN"/>
        </w:rPr>
        <w:t>元启</w:t>
      </w:r>
      <w:proofErr w:type="gramStart"/>
      <w:r w:rsidRPr="00F47BA9">
        <w:rPr>
          <w:rFonts w:ascii="Times New Roman" w:eastAsia="仿宋" w:hAnsi="Times New Roman" w:hint="eastAsia"/>
          <w:b/>
          <w:bCs/>
          <w:sz w:val="44"/>
          <w:szCs w:val="44"/>
          <w:lang w:eastAsia="zh-CN"/>
        </w:rPr>
        <w:t>鑫</w:t>
      </w:r>
      <w:proofErr w:type="gramEnd"/>
      <w:r w:rsidRPr="00F47BA9">
        <w:rPr>
          <w:rFonts w:ascii="Times New Roman" w:eastAsia="仿宋" w:hAnsi="Times New Roman" w:hint="eastAsia"/>
          <w:b/>
          <w:bCs/>
          <w:sz w:val="44"/>
          <w:szCs w:val="44"/>
          <w:lang w:eastAsia="zh-CN"/>
        </w:rPr>
        <w:t>添益</w:t>
      </w:r>
      <w:r w:rsidRPr="00F47BA9">
        <w:rPr>
          <w:rFonts w:ascii="Times New Roman" w:eastAsia="仿宋" w:hAnsi="Times New Roman" w:hint="eastAsia"/>
          <w:b/>
          <w:bCs/>
          <w:sz w:val="44"/>
          <w:szCs w:val="44"/>
          <w:lang w:eastAsia="zh-CN"/>
        </w:rPr>
        <w:t>180</w:t>
      </w:r>
      <w:r w:rsidRPr="00F47BA9">
        <w:rPr>
          <w:rFonts w:ascii="Times New Roman" w:eastAsia="仿宋" w:hAnsi="Times New Roman" w:hint="eastAsia"/>
          <w:b/>
          <w:bCs/>
          <w:sz w:val="44"/>
          <w:szCs w:val="44"/>
          <w:lang w:eastAsia="zh-CN"/>
        </w:rPr>
        <w:t>天持有期债券型证券投资基金</w:t>
      </w:r>
    </w:p>
    <w:p w14:paraId="3B9B5DAE" w14:textId="77777777" w:rsidR="00FB20DE" w:rsidRPr="00F47BA9" w:rsidRDefault="00A6695E">
      <w:pPr>
        <w:spacing w:after="0" w:line="360" w:lineRule="auto"/>
        <w:jc w:val="center"/>
        <w:rPr>
          <w:rFonts w:ascii="Times New Roman" w:eastAsia="仿宋" w:hAnsi="Times New Roman"/>
          <w:b/>
          <w:bCs/>
          <w:sz w:val="44"/>
          <w:szCs w:val="44"/>
          <w:lang w:eastAsia="zh-CN"/>
        </w:rPr>
      </w:pPr>
      <w:r w:rsidRPr="00F47BA9">
        <w:rPr>
          <w:rFonts w:ascii="Times New Roman" w:eastAsia="仿宋" w:hAnsi="Times New Roman" w:hint="eastAsia"/>
          <w:b/>
          <w:bCs/>
          <w:sz w:val="44"/>
          <w:szCs w:val="44"/>
          <w:lang w:eastAsia="zh-CN"/>
        </w:rPr>
        <w:t>托管协议</w:t>
      </w:r>
    </w:p>
    <w:p w14:paraId="5265BC1E" w14:textId="2BC69079" w:rsidR="00FB20DE" w:rsidRPr="00F47BA9" w:rsidRDefault="00A6695E">
      <w:pPr>
        <w:tabs>
          <w:tab w:val="center" w:pos="4153"/>
          <w:tab w:val="left" w:pos="6150"/>
        </w:tabs>
        <w:spacing w:after="0" w:line="360" w:lineRule="auto"/>
        <w:jc w:val="left"/>
        <w:rPr>
          <w:rFonts w:ascii="Times New Roman" w:eastAsia="仿宋" w:hAnsi="Times New Roman"/>
          <w:b/>
          <w:bCs/>
          <w:sz w:val="44"/>
          <w:lang w:eastAsia="zh-CN"/>
        </w:rPr>
      </w:pPr>
      <w:r w:rsidRPr="00F47BA9">
        <w:rPr>
          <w:rFonts w:ascii="Times New Roman" w:eastAsia="仿宋" w:hAnsi="Times New Roman"/>
          <w:b/>
          <w:bCs/>
          <w:sz w:val="44"/>
          <w:szCs w:val="44"/>
          <w:lang w:eastAsia="zh-CN"/>
        </w:rPr>
        <w:tab/>
      </w:r>
    </w:p>
    <w:p w14:paraId="23EEB7EC" w14:textId="77777777" w:rsidR="00FB20DE" w:rsidRPr="00F47BA9" w:rsidRDefault="00FB20DE">
      <w:pPr>
        <w:spacing w:after="0" w:line="360" w:lineRule="auto"/>
        <w:jc w:val="center"/>
        <w:rPr>
          <w:rFonts w:ascii="Times New Roman" w:eastAsia="仿宋" w:hAnsi="Times New Roman"/>
          <w:b/>
          <w:sz w:val="30"/>
          <w:szCs w:val="30"/>
          <w:lang w:eastAsia="zh-CN"/>
        </w:rPr>
      </w:pPr>
    </w:p>
    <w:p w14:paraId="1812973A" w14:textId="77777777" w:rsidR="00FB20DE" w:rsidRPr="00F47BA9" w:rsidRDefault="00FB20DE">
      <w:pPr>
        <w:spacing w:after="0" w:line="360" w:lineRule="auto"/>
        <w:jc w:val="center"/>
        <w:rPr>
          <w:rFonts w:ascii="Times New Roman" w:eastAsia="仿宋" w:hAnsi="Times New Roman"/>
          <w:b/>
          <w:sz w:val="30"/>
          <w:szCs w:val="30"/>
          <w:lang w:eastAsia="zh-CN"/>
        </w:rPr>
      </w:pPr>
    </w:p>
    <w:p w14:paraId="1C405248" w14:textId="77777777" w:rsidR="00FB20DE" w:rsidRPr="00F47BA9" w:rsidRDefault="00FB20DE">
      <w:pPr>
        <w:spacing w:after="0" w:line="360" w:lineRule="auto"/>
        <w:jc w:val="center"/>
        <w:rPr>
          <w:rFonts w:ascii="Times New Roman" w:eastAsia="仿宋" w:hAnsi="Times New Roman"/>
          <w:b/>
          <w:sz w:val="30"/>
          <w:szCs w:val="30"/>
          <w:lang w:eastAsia="zh-CN"/>
        </w:rPr>
      </w:pPr>
    </w:p>
    <w:p w14:paraId="6AA14F33" w14:textId="77777777" w:rsidR="00FB20DE" w:rsidRPr="00F47BA9" w:rsidRDefault="00FB20DE">
      <w:pPr>
        <w:spacing w:after="0" w:line="360" w:lineRule="auto"/>
        <w:jc w:val="center"/>
        <w:rPr>
          <w:rFonts w:ascii="Times New Roman" w:eastAsia="仿宋" w:hAnsi="Times New Roman"/>
          <w:b/>
          <w:sz w:val="30"/>
          <w:szCs w:val="30"/>
          <w:lang w:eastAsia="zh-CN"/>
        </w:rPr>
      </w:pPr>
    </w:p>
    <w:p w14:paraId="49683676" w14:textId="77777777" w:rsidR="00FB20DE" w:rsidRPr="00F47BA9" w:rsidRDefault="00FB20DE">
      <w:pPr>
        <w:spacing w:after="0" w:line="360" w:lineRule="auto"/>
        <w:jc w:val="center"/>
        <w:rPr>
          <w:rFonts w:ascii="Times New Roman" w:eastAsia="仿宋" w:hAnsi="Times New Roman"/>
          <w:b/>
          <w:sz w:val="30"/>
          <w:szCs w:val="30"/>
          <w:lang w:eastAsia="zh-CN"/>
        </w:rPr>
      </w:pPr>
    </w:p>
    <w:p w14:paraId="3DFE2C07" w14:textId="77777777" w:rsidR="00FB20DE" w:rsidRPr="00F47BA9" w:rsidRDefault="00FB20DE">
      <w:pPr>
        <w:spacing w:after="0" w:line="360" w:lineRule="auto"/>
        <w:jc w:val="center"/>
        <w:rPr>
          <w:rFonts w:ascii="Times New Roman" w:eastAsia="仿宋" w:hAnsi="Times New Roman"/>
          <w:b/>
          <w:sz w:val="30"/>
          <w:szCs w:val="30"/>
          <w:lang w:eastAsia="zh-CN"/>
        </w:rPr>
      </w:pPr>
    </w:p>
    <w:p w14:paraId="5AEBD63E" w14:textId="77777777" w:rsidR="00FB20DE" w:rsidRPr="00F47BA9" w:rsidRDefault="00FB20DE">
      <w:pPr>
        <w:spacing w:after="0" w:line="360" w:lineRule="auto"/>
        <w:rPr>
          <w:rFonts w:ascii="Times New Roman" w:eastAsia="仿宋" w:hAnsi="Times New Roman"/>
          <w:b/>
          <w:sz w:val="30"/>
          <w:szCs w:val="30"/>
          <w:lang w:eastAsia="zh-CN"/>
        </w:rPr>
      </w:pPr>
    </w:p>
    <w:p w14:paraId="2486F03A" w14:textId="77777777" w:rsidR="00FB20DE" w:rsidRPr="00F47BA9" w:rsidRDefault="00A6695E">
      <w:pPr>
        <w:spacing w:after="156" w:line="500" w:lineRule="exact"/>
        <w:jc w:val="center"/>
        <w:rPr>
          <w:rFonts w:ascii="Times New Roman" w:eastAsia="仿宋" w:hAnsi="Times New Roman"/>
          <w:b/>
          <w:bCs/>
          <w:sz w:val="36"/>
          <w:szCs w:val="36"/>
          <w:lang w:eastAsia="zh-CN"/>
        </w:rPr>
      </w:pPr>
      <w:r w:rsidRPr="00F47BA9">
        <w:rPr>
          <w:rFonts w:ascii="Times New Roman" w:eastAsia="仿宋" w:hAnsi="Times New Roman" w:hint="eastAsia"/>
          <w:b/>
          <w:bCs/>
          <w:sz w:val="36"/>
          <w:szCs w:val="36"/>
          <w:lang w:eastAsia="zh-CN"/>
        </w:rPr>
        <w:t>基金管理人：</w:t>
      </w:r>
      <w:proofErr w:type="gramStart"/>
      <w:r w:rsidRPr="00F47BA9">
        <w:rPr>
          <w:rFonts w:ascii="Times New Roman" w:eastAsia="仿宋" w:hAnsi="Times New Roman" w:hint="eastAsia"/>
          <w:b/>
          <w:bCs/>
          <w:sz w:val="36"/>
          <w:szCs w:val="36"/>
          <w:lang w:eastAsia="zh-CN"/>
        </w:rPr>
        <w:t>鑫元基金</w:t>
      </w:r>
      <w:proofErr w:type="gramEnd"/>
      <w:r w:rsidRPr="00F47BA9">
        <w:rPr>
          <w:rFonts w:ascii="Times New Roman" w:eastAsia="仿宋" w:hAnsi="Times New Roman" w:hint="eastAsia"/>
          <w:b/>
          <w:bCs/>
          <w:sz w:val="36"/>
          <w:szCs w:val="36"/>
          <w:lang w:eastAsia="zh-CN"/>
        </w:rPr>
        <w:t>管理有限公司</w:t>
      </w:r>
    </w:p>
    <w:p w14:paraId="67BAA388" w14:textId="77777777" w:rsidR="00FB20DE" w:rsidRPr="00F47BA9" w:rsidRDefault="00A6695E">
      <w:pPr>
        <w:jc w:val="center"/>
        <w:rPr>
          <w:rFonts w:ascii="Times New Roman" w:eastAsia="仿宋" w:hAnsi="Times New Roman"/>
          <w:lang w:eastAsia="zh-CN"/>
        </w:rPr>
      </w:pPr>
      <w:r w:rsidRPr="00F47BA9">
        <w:rPr>
          <w:rFonts w:ascii="Times New Roman" w:eastAsia="仿宋" w:hAnsi="Times New Roman" w:hint="eastAsia"/>
          <w:b/>
          <w:bCs/>
          <w:sz w:val="36"/>
          <w:szCs w:val="36"/>
          <w:lang w:eastAsia="zh-CN"/>
        </w:rPr>
        <w:t>基金托管人：</w:t>
      </w:r>
      <w:r w:rsidRPr="00F47BA9">
        <w:rPr>
          <w:rFonts w:ascii="Times New Roman" w:eastAsia="仿宋" w:hAnsi="Times New Roman"/>
          <w:b/>
          <w:bCs/>
          <w:sz w:val="36"/>
          <w:szCs w:val="36"/>
          <w:lang w:eastAsia="zh-CN"/>
        </w:rPr>
        <w:t>徽商</w:t>
      </w:r>
      <w:r w:rsidRPr="00F47BA9">
        <w:rPr>
          <w:rFonts w:ascii="Times New Roman" w:eastAsia="仿宋" w:hAnsi="Times New Roman" w:hint="eastAsia"/>
          <w:b/>
          <w:bCs/>
          <w:sz w:val="36"/>
          <w:szCs w:val="36"/>
          <w:lang w:eastAsia="zh-CN"/>
        </w:rPr>
        <w:t>银行股份有限公司</w:t>
      </w:r>
    </w:p>
    <w:p w14:paraId="7E2076AA" w14:textId="77777777" w:rsidR="00FB20DE" w:rsidRPr="00F47BA9" w:rsidRDefault="00FB20DE">
      <w:pPr>
        <w:ind w:left="1079"/>
        <w:rPr>
          <w:rFonts w:ascii="Times New Roman" w:eastAsia="仿宋" w:hAnsi="Times New Roman"/>
          <w:lang w:eastAsia="zh-CN"/>
        </w:rPr>
        <w:sectPr w:rsidR="00FB20DE" w:rsidRPr="00F47BA9">
          <w:headerReference w:type="default" r:id="rId10"/>
          <w:footerReference w:type="even" r:id="rId11"/>
          <w:headerReference w:type="first" r:id="rId12"/>
          <w:pgSz w:w="11906" w:h="16838"/>
          <w:pgMar w:top="1440" w:right="1800" w:bottom="1440" w:left="1800" w:header="851" w:footer="992" w:gutter="0"/>
          <w:pgNumType w:start="1"/>
          <w:cols w:space="720"/>
          <w:docGrid w:linePitch="360"/>
        </w:sectPr>
      </w:pPr>
    </w:p>
    <w:p w14:paraId="3E7544EE" w14:textId="77777777" w:rsidR="00FB20DE" w:rsidRPr="00F47BA9" w:rsidRDefault="00A6695E">
      <w:pPr>
        <w:spacing w:before="312" w:after="156" w:line="360" w:lineRule="auto"/>
        <w:jc w:val="center"/>
        <w:rPr>
          <w:rFonts w:ascii="Times New Roman" w:eastAsia="仿宋" w:hAnsi="Times New Roman"/>
          <w:b/>
          <w:sz w:val="32"/>
          <w:szCs w:val="32"/>
        </w:rPr>
      </w:pPr>
      <w:proofErr w:type="gramStart"/>
      <w:r w:rsidRPr="00F47BA9">
        <w:rPr>
          <w:rFonts w:ascii="Times New Roman" w:eastAsia="仿宋" w:hAnsi="Times New Roman" w:hint="eastAsia"/>
          <w:b/>
          <w:sz w:val="32"/>
          <w:szCs w:val="32"/>
        </w:rPr>
        <w:lastRenderedPageBreak/>
        <w:t>目</w:t>
      </w:r>
      <w:r w:rsidRPr="00F47BA9">
        <w:rPr>
          <w:rFonts w:ascii="Times New Roman" w:eastAsia="仿宋" w:hAnsi="Times New Roman"/>
          <w:b/>
          <w:sz w:val="32"/>
          <w:szCs w:val="32"/>
        </w:rPr>
        <w:t xml:space="preserve">  </w:t>
      </w:r>
      <w:r w:rsidRPr="00F47BA9">
        <w:rPr>
          <w:rFonts w:ascii="Times New Roman" w:eastAsia="仿宋" w:hAnsi="Times New Roman" w:hint="eastAsia"/>
          <w:b/>
          <w:sz w:val="32"/>
          <w:szCs w:val="32"/>
        </w:rPr>
        <w:t>录</w:t>
      </w:r>
      <w:proofErr w:type="gramEnd"/>
    </w:p>
    <w:p w14:paraId="33E22AF7" w14:textId="5FA55D43" w:rsidR="00FB20DE" w:rsidRPr="00F47BA9" w:rsidRDefault="00A6695E">
      <w:pPr>
        <w:pStyle w:val="10"/>
        <w:spacing w:before="0" w:after="0"/>
        <w:ind w:firstLine="0"/>
        <w:rPr>
          <w:rFonts w:ascii="Times New Roman" w:eastAsia="仿宋" w:hAnsi="Times New Roman"/>
          <w:b w:val="0"/>
          <w:caps w:val="0"/>
          <w:noProof/>
          <w:sz w:val="24"/>
          <w:szCs w:val="24"/>
        </w:rPr>
      </w:pPr>
      <w:r w:rsidRPr="00F47BA9">
        <w:rPr>
          <w:rStyle w:val="af7"/>
          <w:rFonts w:ascii="Times New Roman" w:eastAsia="仿宋" w:hAnsi="Times New Roman"/>
          <w:b w:val="0"/>
          <w:bCs/>
          <w:color w:val="auto"/>
          <w:sz w:val="24"/>
          <w:szCs w:val="24"/>
        </w:rPr>
        <w:fldChar w:fldCharType="begin"/>
      </w:r>
      <w:r w:rsidRPr="00F47BA9">
        <w:rPr>
          <w:rStyle w:val="af7"/>
          <w:rFonts w:ascii="Times New Roman" w:eastAsia="仿宋" w:hAnsi="Times New Roman"/>
          <w:b w:val="0"/>
          <w:bCs/>
          <w:color w:val="auto"/>
          <w:sz w:val="24"/>
          <w:szCs w:val="24"/>
        </w:rPr>
        <w:instrText xml:space="preserve"> TOC \h \z \t "</w:instrText>
      </w:r>
      <w:r w:rsidRPr="00F47BA9">
        <w:rPr>
          <w:rStyle w:val="af7"/>
          <w:rFonts w:ascii="Times New Roman" w:eastAsia="仿宋" w:hAnsi="Times New Roman" w:hint="eastAsia"/>
          <w:b w:val="0"/>
          <w:bCs/>
          <w:color w:val="auto"/>
          <w:sz w:val="24"/>
          <w:szCs w:val="24"/>
        </w:rPr>
        <w:instrText>标题</w:instrText>
      </w:r>
      <w:r w:rsidRPr="00F47BA9">
        <w:rPr>
          <w:rStyle w:val="af7"/>
          <w:rFonts w:ascii="Times New Roman" w:eastAsia="仿宋" w:hAnsi="Times New Roman"/>
          <w:b w:val="0"/>
          <w:bCs/>
          <w:color w:val="auto"/>
          <w:sz w:val="24"/>
          <w:szCs w:val="24"/>
        </w:rPr>
        <w:instrText xml:space="preserve"> 1,1" </w:instrText>
      </w:r>
      <w:r w:rsidRPr="00F47BA9">
        <w:rPr>
          <w:rStyle w:val="af7"/>
          <w:rFonts w:ascii="Times New Roman" w:eastAsia="仿宋" w:hAnsi="Times New Roman"/>
          <w:b w:val="0"/>
          <w:bCs/>
          <w:color w:val="auto"/>
          <w:sz w:val="24"/>
          <w:szCs w:val="24"/>
        </w:rPr>
        <w:fldChar w:fldCharType="separate"/>
      </w:r>
      <w:hyperlink w:anchor="_Toc121842066" w:tooltip="当前文档" w:history="1">
        <w:r w:rsidRPr="00F47BA9">
          <w:rPr>
            <w:rFonts w:ascii="Times New Roman" w:eastAsia="仿宋" w:hAnsi="Times New Roman" w:hint="eastAsia"/>
            <w:b w:val="0"/>
            <w:noProof/>
            <w:sz w:val="24"/>
            <w:szCs w:val="24"/>
          </w:rPr>
          <w:t>一、基金托管协议当事人</w:t>
        </w:r>
        <w:r w:rsidRPr="00F47BA9">
          <w:rPr>
            <w:rFonts w:ascii="Times New Roman" w:eastAsia="仿宋" w:hAnsi="Times New Roman"/>
            <w:b w:val="0"/>
            <w:noProof/>
            <w:sz w:val="24"/>
            <w:szCs w:val="24"/>
          </w:rPr>
          <w:tab/>
        </w:r>
        <w:r w:rsidRPr="00F47BA9">
          <w:rPr>
            <w:rFonts w:ascii="Times New Roman" w:eastAsia="仿宋" w:hAnsi="Times New Roman"/>
            <w:b w:val="0"/>
            <w:noProof/>
            <w:sz w:val="24"/>
            <w:szCs w:val="24"/>
          </w:rPr>
          <w:fldChar w:fldCharType="begin"/>
        </w:r>
        <w:r w:rsidRPr="00F47BA9">
          <w:rPr>
            <w:rFonts w:ascii="Times New Roman" w:eastAsia="仿宋" w:hAnsi="Times New Roman"/>
            <w:b w:val="0"/>
            <w:noProof/>
            <w:sz w:val="24"/>
            <w:szCs w:val="24"/>
          </w:rPr>
          <w:instrText xml:space="preserve"> PAGEREF _Toc121842066 \h </w:instrText>
        </w:r>
        <w:r w:rsidRPr="00F47BA9">
          <w:rPr>
            <w:rFonts w:ascii="Times New Roman" w:eastAsia="仿宋" w:hAnsi="Times New Roman"/>
            <w:b w:val="0"/>
            <w:noProof/>
            <w:sz w:val="24"/>
            <w:szCs w:val="24"/>
          </w:rPr>
        </w:r>
        <w:r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2</w:t>
        </w:r>
        <w:r w:rsidRPr="00F47BA9">
          <w:rPr>
            <w:rFonts w:ascii="Times New Roman" w:eastAsia="仿宋" w:hAnsi="Times New Roman"/>
            <w:b w:val="0"/>
            <w:noProof/>
            <w:sz w:val="24"/>
            <w:szCs w:val="24"/>
          </w:rPr>
          <w:fldChar w:fldCharType="end"/>
        </w:r>
      </w:hyperlink>
    </w:p>
    <w:p w14:paraId="06970AAB" w14:textId="37C7158F" w:rsidR="00FB20DE" w:rsidRPr="00F47BA9" w:rsidRDefault="000D4574">
      <w:pPr>
        <w:pStyle w:val="10"/>
        <w:spacing w:before="0" w:after="0"/>
        <w:ind w:firstLine="0"/>
        <w:rPr>
          <w:rFonts w:ascii="Times New Roman" w:eastAsia="仿宋" w:hAnsi="Times New Roman"/>
          <w:b w:val="0"/>
          <w:caps w:val="0"/>
          <w:noProof/>
          <w:sz w:val="24"/>
          <w:szCs w:val="24"/>
        </w:rPr>
      </w:pPr>
      <w:hyperlink w:anchor="_Toc121842067" w:tooltip="当前文档" w:history="1">
        <w:r w:rsidR="00A6695E" w:rsidRPr="00F47BA9">
          <w:rPr>
            <w:rFonts w:ascii="Times New Roman" w:eastAsia="仿宋" w:hAnsi="Times New Roman" w:hint="eastAsia"/>
            <w:b w:val="0"/>
            <w:noProof/>
            <w:sz w:val="24"/>
            <w:szCs w:val="24"/>
          </w:rPr>
          <w:t>二、基金托管协议的依据、目的和原则</w:t>
        </w:r>
        <w:r w:rsidR="00A6695E" w:rsidRPr="00F47BA9">
          <w:rPr>
            <w:rFonts w:ascii="Times New Roman" w:eastAsia="仿宋" w:hAnsi="Times New Roman"/>
            <w:b w:val="0"/>
            <w:noProof/>
            <w:sz w:val="24"/>
            <w:szCs w:val="24"/>
          </w:rPr>
          <w:tab/>
        </w:r>
        <w:r w:rsidR="00A6695E" w:rsidRPr="00F47BA9">
          <w:rPr>
            <w:rFonts w:ascii="Times New Roman" w:eastAsia="仿宋" w:hAnsi="Times New Roman"/>
            <w:b w:val="0"/>
            <w:noProof/>
            <w:sz w:val="24"/>
            <w:szCs w:val="24"/>
          </w:rPr>
          <w:fldChar w:fldCharType="begin"/>
        </w:r>
        <w:r w:rsidR="00A6695E" w:rsidRPr="00F47BA9">
          <w:rPr>
            <w:rFonts w:ascii="Times New Roman" w:eastAsia="仿宋" w:hAnsi="Times New Roman"/>
            <w:b w:val="0"/>
            <w:noProof/>
            <w:sz w:val="24"/>
            <w:szCs w:val="24"/>
          </w:rPr>
          <w:instrText xml:space="preserve"> PAGEREF _Toc121842067 \h </w:instrText>
        </w:r>
        <w:r w:rsidR="00A6695E" w:rsidRPr="00F47BA9">
          <w:rPr>
            <w:rFonts w:ascii="Times New Roman" w:eastAsia="仿宋" w:hAnsi="Times New Roman"/>
            <w:b w:val="0"/>
            <w:noProof/>
            <w:sz w:val="24"/>
            <w:szCs w:val="24"/>
          </w:rPr>
        </w:r>
        <w:r w:rsidR="00A6695E"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3</w:t>
        </w:r>
        <w:r w:rsidR="00A6695E" w:rsidRPr="00F47BA9">
          <w:rPr>
            <w:rFonts w:ascii="Times New Roman" w:eastAsia="仿宋" w:hAnsi="Times New Roman"/>
            <w:b w:val="0"/>
            <w:noProof/>
            <w:sz w:val="24"/>
            <w:szCs w:val="24"/>
          </w:rPr>
          <w:fldChar w:fldCharType="end"/>
        </w:r>
      </w:hyperlink>
    </w:p>
    <w:p w14:paraId="6B80F9CA" w14:textId="4D19FA22" w:rsidR="00FB20DE" w:rsidRPr="00F47BA9" w:rsidRDefault="000D4574">
      <w:pPr>
        <w:pStyle w:val="10"/>
        <w:spacing w:before="0" w:after="0"/>
        <w:ind w:firstLine="0"/>
        <w:rPr>
          <w:rFonts w:ascii="Times New Roman" w:eastAsia="仿宋" w:hAnsi="Times New Roman"/>
          <w:b w:val="0"/>
          <w:caps w:val="0"/>
          <w:noProof/>
          <w:sz w:val="24"/>
          <w:szCs w:val="24"/>
        </w:rPr>
      </w:pPr>
      <w:hyperlink w:anchor="_Toc121842068" w:tooltip="当前文档" w:history="1">
        <w:r w:rsidR="00A6695E" w:rsidRPr="00F47BA9">
          <w:rPr>
            <w:rFonts w:ascii="Times New Roman" w:eastAsia="仿宋" w:hAnsi="Times New Roman" w:hint="eastAsia"/>
            <w:b w:val="0"/>
            <w:noProof/>
            <w:sz w:val="24"/>
            <w:szCs w:val="24"/>
          </w:rPr>
          <w:t>三、基金托管人对基金管理人的业务监督和核查</w:t>
        </w:r>
        <w:r w:rsidR="00A6695E" w:rsidRPr="00F47BA9">
          <w:rPr>
            <w:rFonts w:ascii="Times New Roman" w:eastAsia="仿宋" w:hAnsi="Times New Roman"/>
            <w:b w:val="0"/>
            <w:noProof/>
            <w:sz w:val="24"/>
            <w:szCs w:val="24"/>
          </w:rPr>
          <w:tab/>
        </w:r>
        <w:r w:rsidR="00A6695E" w:rsidRPr="00F47BA9">
          <w:rPr>
            <w:rFonts w:ascii="Times New Roman" w:eastAsia="仿宋" w:hAnsi="Times New Roman"/>
            <w:b w:val="0"/>
            <w:noProof/>
            <w:sz w:val="24"/>
            <w:szCs w:val="24"/>
          </w:rPr>
          <w:fldChar w:fldCharType="begin"/>
        </w:r>
        <w:r w:rsidR="00A6695E" w:rsidRPr="00F47BA9">
          <w:rPr>
            <w:rFonts w:ascii="Times New Roman" w:eastAsia="仿宋" w:hAnsi="Times New Roman"/>
            <w:b w:val="0"/>
            <w:noProof/>
            <w:sz w:val="24"/>
            <w:szCs w:val="24"/>
          </w:rPr>
          <w:instrText xml:space="preserve"> PAGEREF _Toc121842068 \h </w:instrText>
        </w:r>
        <w:r w:rsidR="00A6695E" w:rsidRPr="00F47BA9">
          <w:rPr>
            <w:rFonts w:ascii="Times New Roman" w:eastAsia="仿宋" w:hAnsi="Times New Roman"/>
            <w:b w:val="0"/>
            <w:noProof/>
            <w:sz w:val="24"/>
            <w:szCs w:val="24"/>
          </w:rPr>
        </w:r>
        <w:r w:rsidR="00A6695E"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4</w:t>
        </w:r>
        <w:r w:rsidR="00A6695E" w:rsidRPr="00F47BA9">
          <w:rPr>
            <w:rFonts w:ascii="Times New Roman" w:eastAsia="仿宋" w:hAnsi="Times New Roman"/>
            <w:b w:val="0"/>
            <w:noProof/>
            <w:sz w:val="24"/>
            <w:szCs w:val="24"/>
          </w:rPr>
          <w:fldChar w:fldCharType="end"/>
        </w:r>
      </w:hyperlink>
    </w:p>
    <w:p w14:paraId="4DFBB903" w14:textId="167EA89E" w:rsidR="00FB20DE" w:rsidRPr="00F47BA9" w:rsidRDefault="000D4574">
      <w:pPr>
        <w:pStyle w:val="10"/>
        <w:spacing w:before="0" w:after="0"/>
        <w:ind w:firstLine="0"/>
        <w:rPr>
          <w:rFonts w:ascii="Times New Roman" w:eastAsia="仿宋" w:hAnsi="Times New Roman"/>
          <w:b w:val="0"/>
          <w:caps w:val="0"/>
          <w:noProof/>
          <w:sz w:val="24"/>
          <w:szCs w:val="24"/>
        </w:rPr>
      </w:pPr>
      <w:hyperlink w:anchor="_Toc121842069" w:tooltip="当前文档" w:history="1">
        <w:r w:rsidR="00A6695E" w:rsidRPr="00F47BA9">
          <w:rPr>
            <w:rFonts w:ascii="Times New Roman" w:eastAsia="仿宋" w:hAnsi="Times New Roman" w:hint="eastAsia"/>
            <w:b w:val="0"/>
            <w:noProof/>
            <w:sz w:val="24"/>
            <w:szCs w:val="24"/>
          </w:rPr>
          <w:t>四、基金管理人对基金托管人的业务核查</w:t>
        </w:r>
        <w:r w:rsidR="00A6695E" w:rsidRPr="00F47BA9">
          <w:rPr>
            <w:rFonts w:ascii="Times New Roman" w:eastAsia="仿宋" w:hAnsi="Times New Roman"/>
            <w:b w:val="0"/>
            <w:noProof/>
            <w:sz w:val="24"/>
            <w:szCs w:val="24"/>
          </w:rPr>
          <w:tab/>
        </w:r>
        <w:r w:rsidR="00A6695E" w:rsidRPr="00F47BA9">
          <w:rPr>
            <w:rFonts w:ascii="Times New Roman" w:eastAsia="仿宋" w:hAnsi="Times New Roman"/>
            <w:b w:val="0"/>
            <w:noProof/>
            <w:sz w:val="24"/>
            <w:szCs w:val="24"/>
          </w:rPr>
          <w:fldChar w:fldCharType="begin"/>
        </w:r>
        <w:r w:rsidR="00A6695E" w:rsidRPr="00F47BA9">
          <w:rPr>
            <w:rFonts w:ascii="Times New Roman" w:eastAsia="仿宋" w:hAnsi="Times New Roman"/>
            <w:b w:val="0"/>
            <w:noProof/>
            <w:sz w:val="24"/>
            <w:szCs w:val="24"/>
          </w:rPr>
          <w:instrText xml:space="preserve"> PAGEREF _Toc121842069 \h </w:instrText>
        </w:r>
        <w:r w:rsidR="00A6695E" w:rsidRPr="00F47BA9">
          <w:rPr>
            <w:rFonts w:ascii="Times New Roman" w:eastAsia="仿宋" w:hAnsi="Times New Roman"/>
            <w:b w:val="0"/>
            <w:noProof/>
            <w:sz w:val="24"/>
            <w:szCs w:val="24"/>
          </w:rPr>
        </w:r>
        <w:r w:rsidR="00A6695E"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13</w:t>
        </w:r>
        <w:r w:rsidR="00A6695E" w:rsidRPr="00F47BA9">
          <w:rPr>
            <w:rFonts w:ascii="Times New Roman" w:eastAsia="仿宋" w:hAnsi="Times New Roman"/>
            <w:b w:val="0"/>
            <w:noProof/>
            <w:sz w:val="24"/>
            <w:szCs w:val="24"/>
          </w:rPr>
          <w:fldChar w:fldCharType="end"/>
        </w:r>
      </w:hyperlink>
    </w:p>
    <w:p w14:paraId="4CF58107" w14:textId="2AE51BFD" w:rsidR="00FB20DE" w:rsidRPr="00F47BA9" w:rsidRDefault="000D4574">
      <w:pPr>
        <w:pStyle w:val="10"/>
        <w:spacing w:before="0" w:after="0"/>
        <w:ind w:firstLine="0"/>
        <w:rPr>
          <w:rFonts w:ascii="Times New Roman" w:eastAsia="仿宋" w:hAnsi="Times New Roman"/>
          <w:b w:val="0"/>
          <w:caps w:val="0"/>
          <w:noProof/>
          <w:sz w:val="24"/>
          <w:szCs w:val="24"/>
        </w:rPr>
      </w:pPr>
      <w:hyperlink w:anchor="_Toc121842070" w:tooltip="当前文档" w:history="1">
        <w:r w:rsidR="00A6695E" w:rsidRPr="00F47BA9">
          <w:rPr>
            <w:rFonts w:ascii="Times New Roman" w:eastAsia="仿宋" w:hAnsi="Times New Roman" w:hint="eastAsia"/>
            <w:b w:val="0"/>
            <w:noProof/>
            <w:sz w:val="24"/>
            <w:szCs w:val="24"/>
          </w:rPr>
          <w:t>五、基金财产的保管</w:t>
        </w:r>
        <w:r w:rsidR="00A6695E" w:rsidRPr="00F47BA9">
          <w:rPr>
            <w:rFonts w:ascii="Times New Roman" w:eastAsia="仿宋" w:hAnsi="Times New Roman"/>
            <w:b w:val="0"/>
            <w:noProof/>
            <w:sz w:val="24"/>
            <w:szCs w:val="24"/>
          </w:rPr>
          <w:tab/>
        </w:r>
        <w:r w:rsidR="00A6695E" w:rsidRPr="00F47BA9">
          <w:rPr>
            <w:rFonts w:ascii="Times New Roman" w:eastAsia="仿宋" w:hAnsi="Times New Roman"/>
            <w:b w:val="0"/>
            <w:noProof/>
            <w:sz w:val="24"/>
            <w:szCs w:val="24"/>
          </w:rPr>
          <w:fldChar w:fldCharType="begin"/>
        </w:r>
        <w:r w:rsidR="00A6695E" w:rsidRPr="00F47BA9">
          <w:rPr>
            <w:rFonts w:ascii="Times New Roman" w:eastAsia="仿宋" w:hAnsi="Times New Roman"/>
            <w:b w:val="0"/>
            <w:noProof/>
            <w:sz w:val="24"/>
            <w:szCs w:val="24"/>
          </w:rPr>
          <w:instrText xml:space="preserve"> PAGEREF _Toc121842070 \h </w:instrText>
        </w:r>
        <w:r w:rsidR="00A6695E" w:rsidRPr="00F47BA9">
          <w:rPr>
            <w:rFonts w:ascii="Times New Roman" w:eastAsia="仿宋" w:hAnsi="Times New Roman"/>
            <w:b w:val="0"/>
            <w:noProof/>
            <w:sz w:val="24"/>
            <w:szCs w:val="24"/>
          </w:rPr>
        </w:r>
        <w:r w:rsidR="00A6695E"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14</w:t>
        </w:r>
        <w:r w:rsidR="00A6695E" w:rsidRPr="00F47BA9">
          <w:rPr>
            <w:rFonts w:ascii="Times New Roman" w:eastAsia="仿宋" w:hAnsi="Times New Roman"/>
            <w:b w:val="0"/>
            <w:noProof/>
            <w:sz w:val="24"/>
            <w:szCs w:val="24"/>
          </w:rPr>
          <w:fldChar w:fldCharType="end"/>
        </w:r>
      </w:hyperlink>
    </w:p>
    <w:p w14:paraId="0163DAB0" w14:textId="7E39D4BF" w:rsidR="00FB20DE" w:rsidRPr="00F47BA9" w:rsidRDefault="000D4574">
      <w:pPr>
        <w:pStyle w:val="10"/>
        <w:spacing w:before="0" w:after="0"/>
        <w:ind w:firstLine="0"/>
        <w:rPr>
          <w:rFonts w:ascii="Times New Roman" w:eastAsia="仿宋" w:hAnsi="Times New Roman"/>
          <w:b w:val="0"/>
          <w:caps w:val="0"/>
          <w:noProof/>
          <w:sz w:val="24"/>
          <w:szCs w:val="24"/>
        </w:rPr>
      </w:pPr>
      <w:hyperlink w:anchor="_Toc121842071" w:tooltip="当前文档" w:history="1">
        <w:r w:rsidR="00A6695E" w:rsidRPr="00F47BA9">
          <w:rPr>
            <w:rFonts w:ascii="Times New Roman" w:eastAsia="仿宋" w:hAnsi="Times New Roman" w:hint="eastAsia"/>
            <w:b w:val="0"/>
            <w:noProof/>
            <w:sz w:val="24"/>
            <w:szCs w:val="24"/>
          </w:rPr>
          <w:t>六、指令的发送、确认和执行</w:t>
        </w:r>
        <w:r w:rsidR="00A6695E" w:rsidRPr="00F47BA9">
          <w:rPr>
            <w:rFonts w:ascii="Times New Roman" w:eastAsia="仿宋" w:hAnsi="Times New Roman"/>
            <w:b w:val="0"/>
            <w:noProof/>
            <w:sz w:val="24"/>
            <w:szCs w:val="24"/>
          </w:rPr>
          <w:tab/>
        </w:r>
        <w:r w:rsidR="00A6695E" w:rsidRPr="00F47BA9">
          <w:rPr>
            <w:rFonts w:ascii="Times New Roman" w:eastAsia="仿宋" w:hAnsi="Times New Roman"/>
            <w:b w:val="0"/>
            <w:noProof/>
            <w:sz w:val="24"/>
            <w:szCs w:val="24"/>
          </w:rPr>
          <w:fldChar w:fldCharType="begin"/>
        </w:r>
        <w:r w:rsidR="00A6695E" w:rsidRPr="00F47BA9">
          <w:rPr>
            <w:rFonts w:ascii="Times New Roman" w:eastAsia="仿宋" w:hAnsi="Times New Roman"/>
            <w:b w:val="0"/>
            <w:noProof/>
            <w:sz w:val="24"/>
            <w:szCs w:val="24"/>
          </w:rPr>
          <w:instrText xml:space="preserve"> PAGEREF _Toc121842071 \h </w:instrText>
        </w:r>
        <w:r w:rsidR="00A6695E" w:rsidRPr="00F47BA9">
          <w:rPr>
            <w:rFonts w:ascii="Times New Roman" w:eastAsia="仿宋" w:hAnsi="Times New Roman"/>
            <w:b w:val="0"/>
            <w:noProof/>
            <w:sz w:val="24"/>
            <w:szCs w:val="24"/>
          </w:rPr>
        </w:r>
        <w:r w:rsidR="00A6695E"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18</w:t>
        </w:r>
        <w:r w:rsidR="00A6695E" w:rsidRPr="00F47BA9">
          <w:rPr>
            <w:rFonts w:ascii="Times New Roman" w:eastAsia="仿宋" w:hAnsi="Times New Roman"/>
            <w:b w:val="0"/>
            <w:noProof/>
            <w:sz w:val="24"/>
            <w:szCs w:val="24"/>
          </w:rPr>
          <w:fldChar w:fldCharType="end"/>
        </w:r>
      </w:hyperlink>
    </w:p>
    <w:p w14:paraId="6EC9500D" w14:textId="2E6731C5" w:rsidR="00FB20DE" w:rsidRPr="00F47BA9" w:rsidRDefault="000D4574">
      <w:pPr>
        <w:pStyle w:val="10"/>
        <w:spacing w:before="0" w:after="0"/>
        <w:ind w:firstLine="0"/>
        <w:rPr>
          <w:rFonts w:ascii="Times New Roman" w:eastAsia="仿宋" w:hAnsi="Times New Roman"/>
          <w:b w:val="0"/>
          <w:caps w:val="0"/>
          <w:noProof/>
          <w:sz w:val="24"/>
          <w:szCs w:val="24"/>
        </w:rPr>
      </w:pPr>
      <w:hyperlink w:anchor="_Toc121842072" w:tooltip="当前文档" w:history="1">
        <w:r w:rsidR="00A6695E" w:rsidRPr="00F47BA9">
          <w:rPr>
            <w:rFonts w:ascii="Times New Roman" w:eastAsia="仿宋" w:hAnsi="Times New Roman" w:hint="eastAsia"/>
            <w:b w:val="0"/>
            <w:noProof/>
            <w:sz w:val="24"/>
            <w:szCs w:val="24"/>
          </w:rPr>
          <w:t>七、交易及清算交收安排</w:t>
        </w:r>
        <w:r w:rsidR="00A6695E" w:rsidRPr="00F47BA9">
          <w:rPr>
            <w:rFonts w:ascii="Times New Roman" w:eastAsia="仿宋" w:hAnsi="Times New Roman"/>
            <w:b w:val="0"/>
            <w:noProof/>
            <w:sz w:val="24"/>
            <w:szCs w:val="24"/>
          </w:rPr>
          <w:tab/>
        </w:r>
        <w:r w:rsidR="00A6695E" w:rsidRPr="00F47BA9">
          <w:rPr>
            <w:rFonts w:ascii="Times New Roman" w:eastAsia="仿宋" w:hAnsi="Times New Roman"/>
            <w:b w:val="0"/>
            <w:noProof/>
            <w:sz w:val="24"/>
            <w:szCs w:val="24"/>
          </w:rPr>
          <w:fldChar w:fldCharType="begin"/>
        </w:r>
        <w:r w:rsidR="00A6695E" w:rsidRPr="00F47BA9">
          <w:rPr>
            <w:rFonts w:ascii="Times New Roman" w:eastAsia="仿宋" w:hAnsi="Times New Roman"/>
            <w:b w:val="0"/>
            <w:noProof/>
            <w:sz w:val="24"/>
            <w:szCs w:val="24"/>
          </w:rPr>
          <w:instrText xml:space="preserve"> PAGEREF _Toc121842072 \h </w:instrText>
        </w:r>
        <w:r w:rsidR="00A6695E" w:rsidRPr="00F47BA9">
          <w:rPr>
            <w:rFonts w:ascii="Times New Roman" w:eastAsia="仿宋" w:hAnsi="Times New Roman"/>
            <w:b w:val="0"/>
            <w:noProof/>
            <w:sz w:val="24"/>
            <w:szCs w:val="24"/>
          </w:rPr>
        </w:r>
        <w:r w:rsidR="00A6695E"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21</w:t>
        </w:r>
        <w:r w:rsidR="00A6695E" w:rsidRPr="00F47BA9">
          <w:rPr>
            <w:rFonts w:ascii="Times New Roman" w:eastAsia="仿宋" w:hAnsi="Times New Roman"/>
            <w:b w:val="0"/>
            <w:noProof/>
            <w:sz w:val="24"/>
            <w:szCs w:val="24"/>
          </w:rPr>
          <w:fldChar w:fldCharType="end"/>
        </w:r>
      </w:hyperlink>
    </w:p>
    <w:p w14:paraId="3C10F2D1" w14:textId="20B657D6" w:rsidR="00FB20DE" w:rsidRPr="00F47BA9" w:rsidRDefault="000D4574">
      <w:pPr>
        <w:pStyle w:val="10"/>
        <w:spacing w:before="0" w:after="0"/>
        <w:ind w:firstLine="0"/>
        <w:rPr>
          <w:rFonts w:ascii="Times New Roman" w:eastAsia="仿宋" w:hAnsi="Times New Roman"/>
          <w:b w:val="0"/>
          <w:caps w:val="0"/>
          <w:noProof/>
          <w:sz w:val="24"/>
          <w:szCs w:val="24"/>
        </w:rPr>
      </w:pPr>
      <w:hyperlink w:anchor="_Toc121842073" w:tooltip="当前文档" w:history="1">
        <w:r w:rsidR="00A6695E" w:rsidRPr="00F47BA9">
          <w:rPr>
            <w:rFonts w:ascii="Times New Roman" w:eastAsia="仿宋" w:hAnsi="Times New Roman" w:hint="eastAsia"/>
            <w:b w:val="0"/>
            <w:noProof/>
            <w:sz w:val="24"/>
            <w:szCs w:val="24"/>
          </w:rPr>
          <w:t>八、基金资产净值计算和会计核算</w:t>
        </w:r>
        <w:r w:rsidR="00A6695E" w:rsidRPr="00F47BA9">
          <w:rPr>
            <w:rFonts w:ascii="Times New Roman" w:eastAsia="仿宋" w:hAnsi="Times New Roman"/>
            <w:b w:val="0"/>
            <w:noProof/>
            <w:sz w:val="24"/>
            <w:szCs w:val="24"/>
          </w:rPr>
          <w:tab/>
        </w:r>
        <w:r w:rsidR="00A6695E" w:rsidRPr="00F47BA9">
          <w:rPr>
            <w:rFonts w:ascii="Times New Roman" w:eastAsia="仿宋" w:hAnsi="Times New Roman"/>
            <w:b w:val="0"/>
            <w:noProof/>
            <w:sz w:val="24"/>
            <w:szCs w:val="24"/>
          </w:rPr>
          <w:fldChar w:fldCharType="begin"/>
        </w:r>
        <w:r w:rsidR="00A6695E" w:rsidRPr="00F47BA9">
          <w:rPr>
            <w:rFonts w:ascii="Times New Roman" w:eastAsia="仿宋" w:hAnsi="Times New Roman"/>
            <w:b w:val="0"/>
            <w:noProof/>
            <w:sz w:val="24"/>
            <w:szCs w:val="24"/>
          </w:rPr>
          <w:instrText xml:space="preserve"> PAGEREF _Toc121842073 \h </w:instrText>
        </w:r>
        <w:r w:rsidR="00A6695E" w:rsidRPr="00F47BA9">
          <w:rPr>
            <w:rFonts w:ascii="Times New Roman" w:eastAsia="仿宋" w:hAnsi="Times New Roman"/>
            <w:b w:val="0"/>
            <w:noProof/>
            <w:sz w:val="24"/>
            <w:szCs w:val="24"/>
          </w:rPr>
        </w:r>
        <w:r w:rsidR="00A6695E"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24</w:t>
        </w:r>
        <w:r w:rsidR="00A6695E" w:rsidRPr="00F47BA9">
          <w:rPr>
            <w:rFonts w:ascii="Times New Roman" w:eastAsia="仿宋" w:hAnsi="Times New Roman"/>
            <w:b w:val="0"/>
            <w:noProof/>
            <w:sz w:val="24"/>
            <w:szCs w:val="24"/>
          </w:rPr>
          <w:fldChar w:fldCharType="end"/>
        </w:r>
      </w:hyperlink>
    </w:p>
    <w:p w14:paraId="7140171C" w14:textId="5A72D040" w:rsidR="00FB20DE" w:rsidRPr="00F47BA9" w:rsidRDefault="000D4574">
      <w:pPr>
        <w:pStyle w:val="10"/>
        <w:spacing w:before="0" w:after="0"/>
        <w:ind w:firstLine="0"/>
        <w:rPr>
          <w:rFonts w:ascii="Times New Roman" w:eastAsia="仿宋" w:hAnsi="Times New Roman"/>
          <w:b w:val="0"/>
          <w:caps w:val="0"/>
          <w:noProof/>
          <w:sz w:val="24"/>
          <w:szCs w:val="24"/>
        </w:rPr>
      </w:pPr>
      <w:hyperlink w:anchor="_Toc121842074" w:tooltip="当前文档" w:history="1">
        <w:r w:rsidR="00A6695E" w:rsidRPr="00F47BA9">
          <w:rPr>
            <w:rFonts w:ascii="Times New Roman" w:eastAsia="仿宋" w:hAnsi="Times New Roman" w:hint="eastAsia"/>
            <w:b w:val="0"/>
            <w:noProof/>
            <w:sz w:val="24"/>
            <w:szCs w:val="24"/>
          </w:rPr>
          <w:t>九、基金收益分配</w:t>
        </w:r>
        <w:r w:rsidR="00A6695E" w:rsidRPr="00F47BA9">
          <w:rPr>
            <w:rFonts w:ascii="Times New Roman" w:eastAsia="仿宋" w:hAnsi="Times New Roman"/>
            <w:b w:val="0"/>
            <w:noProof/>
            <w:sz w:val="24"/>
            <w:szCs w:val="24"/>
          </w:rPr>
          <w:tab/>
        </w:r>
        <w:r w:rsidR="00A6695E" w:rsidRPr="00F47BA9">
          <w:rPr>
            <w:rFonts w:ascii="Times New Roman" w:eastAsia="仿宋" w:hAnsi="Times New Roman"/>
            <w:b w:val="0"/>
            <w:noProof/>
            <w:sz w:val="24"/>
            <w:szCs w:val="24"/>
          </w:rPr>
          <w:fldChar w:fldCharType="begin"/>
        </w:r>
        <w:r w:rsidR="00A6695E" w:rsidRPr="00F47BA9">
          <w:rPr>
            <w:rFonts w:ascii="Times New Roman" w:eastAsia="仿宋" w:hAnsi="Times New Roman"/>
            <w:b w:val="0"/>
            <w:noProof/>
            <w:sz w:val="24"/>
            <w:szCs w:val="24"/>
          </w:rPr>
          <w:instrText xml:space="preserve"> PAGEREF _Toc121842074 \h </w:instrText>
        </w:r>
        <w:r w:rsidR="00A6695E" w:rsidRPr="00F47BA9">
          <w:rPr>
            <w:rFonts w:ascii="Times New Roman" w:eastAsia="仿宋" w:hAnsi="Times New Roman"/>
            <w:b w:val="0"/>
            <w:noProof/>
            <w:sz w:val="24"/>
            <w:szCs w:val="24"/>
          </w:rPr>
        </w:r>
        <w:r w:rsidR="00A6695E"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31</w:t>
        </w:r>
        <w:r w:rsidR="00A6695E" w:rsidRPr="00F47BA9">
          <w:rPr>
            <w:rFonts w:ascii="Times New Roman" w:eastAsia="仿宋" w:hAnsi="Times New Roman"/>
            <w:b w:val="0"/>
            <w:noProof/>
            <w:sz w:val="24"/>
            <w:szCs w:val="24"/>
          </w:rPr>
          <w:fldChar w:fldCharType="end"/>
        </w:r>
      </w:hyperlink>
    </w:p>
    <w:p w14:paraId="42C38F8C" w14:textId="16F922ED" w:rsidR="00FB20DE" w:rsidRPr="00F47BA9" w:rsidRDefault="000D4574">
      <w:pPr>
        <w:pStyle w:val="10"/>
        <w:spacing w:before="0" w:after="0"/>
        <w:ind w:firstLine="0"/>
        <w:rPr>
          <w:rFonts w:ascii="Times New Roman" w:eastAsia="仿宋" w:hAnsi="Times New Roman"/>
          <w:b w:val="0"/>
          <w:caps w:val="0"/>
          <w:noProof/>
          <w:sz w:val="24"/>
          <w:szCs w:val="24"/>
        </w:rPr>
      </w:pPr>
      <w:hyperlink w:anchor="_Toc121842075" w:tooltip="当前文档" w:history="1">
        <w:r w:rsidR="00A6695E" w:rsidRPr="00F47BA9">
          <w:rPr>
            <w:rFonts w:ascii="Times New Roman" w:eastAsia="仿宋" w:hAnsi="Times New Roman" w:hint="eastAsia"/>
            <w:b w:val="0"/>
            <w:noProof/>
            <w:sz w:val="24"/>
            <w:szCs w:val="24"/>
          </w:rPr>
          <w:t>十、基金信息披露</w:t>
        </w:r>
        <w:r w:rsidR="00A6695E" w:rsidRPr="00F47BA9">
          <w:rPr>
            <w:rFonts w:ascii="Times New Roman" w:eastAsia="仿宋" w:hAnsi="Times New Roman"/>
            <w:b w:val="0"/>
            <w:noProof/>
            <w:sz w:val="24"/>
            <w:szCs w:val="24"/>
          </w:rPr>
          <w:tab/>
        </w:r>
        <w:r w:rsidR="00A6695E" w:rsidRPr="00F47BA9">
          <w:rPr>
            <w:rFonts w:ascii="Times New Roman" w:eastAsia="仿宋" w:hAnsi="Times New Roman"/>
            <w:b w:val="0"/>
            <w:noProof/>
            <w:sz w:val="24"/>
            <w:szCs w:val="24"/>
          </w:rPr>
          <w:fldChar w:fldCharType="begin"/>
        </w:r>
        <w:r w:rsidR="00A6695E" w:rsidRPr="00F47BA9">
          <w:rPr>
            <w:rFonts w:ascii="Times New Roman" w:eastAsia="仿宋" w:hAnsi="Times New Roman"/>
            <w:b w:val="0"/>
            <w:noProof/>
            <w:sz w:val="24"/>
            <w:szCs w:val="24"/>
          </w:rPr>
          <w:instrText xml:space="preserve"> PAGEREF _Toc121842075 \h </w:instrText>
        </w:r>
        <w:r w:rsidR="00A6695E" w:rsidRPr="00F47BA9">
          <w:rPr>
            <w:rFonts w:ascii="Times New Roman" w:eastAsia="仿宋" w:hAnsi="Times New Roman"/>
            <w:b w:val="0"/>
            <w:noProof/>
            <w:sz w:val="24"/>
            <w:szCs w:val="24"/>
          </w:rPr>
        </w:r>
        <w:r w:rsidR="00A6695E"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33</w:t>
        </w:r>
        <w:r w:rsidR="00A6695E" w:rsidRPr="00F47BA9">
          <w:rPr>
            <w:rFonts w:ascii="Times New Roman" w:eastAsia="仿宋" w:hAnsi="Times New Roman"/>
            <w:b w:val="0"/>
            <w:noProof/>
            <w:sz w:val="24"/>
            <w:szCs w:val="24"/>
          </w:rPr>
          <w:fldChar w:fldCharType="end"/>
        </w:r>
      </w:hyperlink>
    </w:p>
    <w:p w14:paraId="6366C9CB" w14:textId="1B7137AA" w:rsidR="00FB20DE" w:rsidRPr="00F47BA9" w:rsidRDefault="000D4574">
      <w:pPr>
        <w:pStyle w:val="10"/>
        <w:spacing w:before="0" w:after="0"/>
        <w:ind w:firstLine="0"/>
        <w:rPr>
          <w:rFonts w:ascii="Times New Roman" w:eastAsia="仿宋" w:hAnsi="Times New Roman"/>
          <w:b w:val="0"/>
          <w:caps w:val="0"/>
          <w:noProof/>
          <w:sz w:val="24"/>
          <w:szCs w:val="24"/>
        </w:rPr>
      </w:pPr>
      <w:hyperlink w:anchor="_Toc121842076" w:tooltip="当前文档" w:history="1">
        <w:r w:rsidR="00A6695E" w:rsidRPr="00F47BA9">
          <w:rPr>
            <w:rFonts w:ascii="Times New Roman" w:eastAsia="仿宋" w:hAnsi="Times New Roman" w:hint="eastAsia"/>
            <w:b w:val="0"/>
            <w:noProof/>
            <w:sz w:val="24"/>
            <w:szCs w:val="24"/>
          </w:rPr>
          <w:t>十一、基金费用</w:t>
        </w:r>
        <w:r w:rsidR="00A6695E" w:rsidRPr="00F47BA9">
          <w:rPr>
            <w:rFonts w:ascii="Times New Roman" w:eastAsia="仿宋" w:hAnsi="Times New Roman"/>
            <w:b w:val="0"/>
            <w:noProof/>
            <w:sz w:val="24"/>
            <w:szCs w:val="24"/>
          </w:rPr>
          <w:tab/>
        </w:r>
        <w:r w:rsidR="00A6695E" w:rsidRPr="00F47BA9">
          <w:rPr>
            <w:rFonts w:ascii="Times New Roman" w:eastAsia="仿宋" w:hAnsi="Times New Roman"/>
            <w:b w:val="0"/>
            <w:noProof/>
            <w:sz w:val="24"/>
            <w:szCs w:val="24"/>
          </w:rPr>
          <w:fldChar w:fldCharType="begin"/>
        </w:r>
        <w:r w:rsidR="00A6695E" w:rsidRPr="00F47BA9">
          <w:rPr>
            <w:rFonts w:ascii="Times New Roman" w:eastAsia="仿宋" w:hAnsi="Times New Roman"/>
            <w:b w:val="0"/>
            <w:noProof/>
            <w:sz w:val="24"/>
            <w:szCs w:val="24"/>
          </w:rPr>
          <w:instrText xml:space="preserve"> PAGEREF _Toc121842076 \h </w:instrText>
        </w:r>
        <w:r w:rsidR="00A6695E" w:rsidRPr="00F47BA9">
          <w:rPr>
            <w:rFonts w:ascii="Times New Roman" w:eastAsia="仿宋" w:hAnsi="Times New Roman"/>
            <w:b w:val="0"/>
            <w:noProof/>
            <w:sz w:val="24"/>
            <w:szCs w:val="24"/>
          </w:rPr>
        </w:r>
        <w:r w:rsidR="00A6695E"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35</w:t>
        </w:r>
        <w:r w:rsidR="00A6695E" w:rsidRPr="00F47BA9">
          <w:rPr>
            <w:rFonts w:ascii="Times New Roman" w:eastAsia="仿宋" w:hAnsi="Times New Roman"/>
            <w:b w:val="0"/>
            <w:noProof/>
            <w:sz w:val="24"/>
            <w:szCs w:val="24"/>
          </w:rPr>
          <w:fldChar w:fldCharType="end"/>
        </w:r>
      </w:hyperlink>
    </w:p>
    <w:p w14:paraId="79586C13" w14:textId="464C3124" w:rsidR="00FB20DE" w:rsidRPr="00F47BA9" w:rsidRDefault="000D4574">
      <w:pPr>
        <w:pStyle w:val="10"/>
        <w:spacing w:before="0" w:after="0"/>
        <w:ind w:firstLine="0"/>
        <w:rPr>
          <w:rFonts w:ascii="Times New Roman" w:eastAsia="仿宋" w:hAnsi="Times New Roman"/>
          <w:b w:val="0"/>
          <w:caps w:val="0"/>
          <w:noProof/>
          <w:sz w:val="24"/>
          <w:szCs w:val="24"/>
        </w:rPr>
      </w:pPr>
      <w:hyperlink w:anchor="_Toc121842077" w:tooltip="当前文档" w:history="1">
        <w:r w:rsidR="00A6695E" w:rsidRPr="00F47BA9">
          <w:rPr>
            <w:rFonts w:ascii="Times New Roman" w:eastAsia="仿宋" w:hAnsi="Times New Roman" w:hint="eastAsia"/>
            <w:b w:val="0"/>
            <w:noProof/>
            <w:sz w:val="24"/>
            <w:szCs w:val="24"/>
          </w:rPr>
          <w:t>十二、基金份额持有人名册的保管</w:t>
        </w:r>
        <w:r w:rsidR="00A6695E" w:rsidRPr="00F47BA9">
          <w:rPr>
            <w:rFonts w:ascii="Times New Roman" w:eastAsia="仿宋" w:hAnsi="Times New Roman"/>
            <w:b w:val="0"/>
            <w:noProof/>
            <w:sz w:val="24"/>
            <w:szCs w:val="24"/>
          </w:rPr>
          <w:tab/>
        </w:r>
        <w:r w:rsidR="00A6695E" w:rsidRPr="00F47BA9">
          <w:rPr>
            <w:rFonts w:ascii="Times New Roman" w:eastAsia="仿宋" w:hAnsi="Times New Roman"/>
            <w:b w:val="0"/>
            <w:noProof/>
            <w:sz w:val="24"/>
            <w:szCs w:val="24"/>
          </w:rPr>
          <w:fldChar w:fldCharType="begin"/>
        </w:r>
        <w:r w:rsidR="00A6695E" w:rsidRPr="00F47BA9">
          <w:rPr>
            <w:rFonts w:ascii="Times New Roman" w:eastAsia="仿宋" w:hAnsi="Times New Roman"/>
            <w:b w:val="0"/>
            <w:noProof/>
            <w:sz w:val="24"/>
            <w:szCs w:val="24"/>
          </w:rPr>
          <w:instrText xml:space="preserve"> PAGEREF _Toc121842077 \h </w:instrText>
        </w:r>
        <w:r w:rsidR="00A6695E" w:rsidRPr="00F47BA9">
          <w:rPr>
            <w:rFonts w:ascii="Times New Roman" w:eastAsia="仿宋" w:hAnsi="Times New Roman"/>
            <w:b w:val="0"/>
            <w:noProof/>
            <w:sz w:val="24"/>
            <w:szCs w:val="24"/>
          </w:rPr>
        </w:r>
        <w:r w:rsidR="00A6695E"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38</w:t>
        </w:r>
        <w:r w:rsidR="00A6695E" w:rsidRPr="00F47BA9">
          <w:rPr>
            <w:rFonts w:ascii="Times New Roman" w:eastAsia="仿宋" w:hAnsi="Times New Roman"/>
            <w:b w:val="0"/>
            <w:noProof/>
            <w:sz w:val="24"/>
            <w:szCs w:val="24"/>
          </w:rPr>
          <w:fldChar w:fldCharType="end"/>
        </w:r>
      </w:hyperlink>
    </w:p>
    <w:p w14:paraId="5037145B" w14:textId="1BD51032" w:rsidR="00FB20DE" w:rsidRPr="00F47BA9" w:rsidRDefault="000D4574">
      <w:pPr>
        <w:pStyle w:val="10"/>
        <w:spacing w:before="0" w:after="0"/>
        <w:ind w:firstLine="0"/>
        <w:rPr>
          <w:rFonts w:ascii="Times New Roman" w:eastAsia="仿宋" w:hAnsi="Times New Roman"/>
          <w:b w:val="0"/>
          <w:caps w:val="0"/>
          <w:noProof/>
          <w:sz w:val="24"/>
          <w:szCs w:val="24"/>
        </w:rPr>
      </w:pPr>
      <w:hyperlink w:anchor="_Toc121842078" w:tooltip="当前文档" w:history="1">
        <w:r w:rsidR="00A6695E" w:rsidRPr="00F47BA9">
          <w:rPr>
            <w:rFonts w:ascii="Times New Roman" w:eastAsia="仿宋" w:hAnsi="Times New Roman" w:hint="eastAsia"/>
            <w:b w:val="0"/>
            <w:noProof/>
            <w:sz w:val="24"/>
            <w:szCs w:val="24"/>
          </w:rPr>
          <w:t>十三、基金有关文件档案的保存</w:t>
        </w:r>
        <w:r w:rsidR="00A6695E" w:rsidRPr="00F47BA9">
          <w:rPr>
            <w:rFonts w:ascii="Times New Roman" w:eastAsia="仿宋" w:hAnsi="Times New Roman"/>
            <w:b w:val="0"/>
            <w:noProof/>
            <w:sz w:val="24"/>
            <w:szCs w:val="24"/>
          </w:rPr>
          <w:tab/>
        </w:r>
        <w:r w:rsidR="00A6695E" w:rsidRPr="00F47BA9">
          <w:rPr>
            <w:rFonts w:ascii="Times New Roman" w:eastAsia="仿宋" w:hAnsi="Times New Roman"/>
            <w:b w:val="0"/>
            <w:noProof/>
            <w:sz w:val="24"/>
            <w:szCs w:val="24"/>
          </w:rPr>
          <w:fldChar w:fldCharType="begin"/>
        </w:r>
        <w:r w:rsidR="00A6695E" w:rsidRPr="00F47BA9">
          <w:rPr>
            <w:rFonts w:ascii="Times New Roman" w:eastAsia="仿宋" w:hAnsi="Times New Roman"/>
            <w:b w:val="0"/>
            <w:noProof/>
            <w:sz w:val="24"/>
            <w:szCs w:val="24"/>
          </w:rPr>
          <w:instrText xml:space="preserve"> PAGEREF _Toc121842078 \h </w:instrText>
        </w:r>
        <w:r w:rsidR="00A6695E" w:rsidRPr="00F47BA9">
          <w:rPr>
            <w:rFonts w:ascii="Times New Roman" w:eastAsia="仿宋" w:hAnsi="Times New Roman"/>
            <w:b w:val="0"/>
            <w:noProof/>
            <w:sz w:val="24"/>
            <w:szCs w:val="24"/>
          </w:rPr>
        </w:r>
        <w:r w:rsidR="00A6695E"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39</w:t>
        </w:r>
        <w:r w:rsidR="00A6695E" w:rsidRPr="00F47BA9">
          <w:rPr>
            <w:rFonts w:ascii="Times New Roman" w:eastAsia="仿宋" w:hAnsi="Times New Roman"/>
            <w:b w:val="0"/>
            <w:noProof/>
            <w:sz w:val="24"/>
            <w:szCs w:val="24"/>
          </w:rPr>
          <w:fldChar w:fldCharType="end"/>
        </w:r>
      </w:hyperlink>
    </w:p>
    <w:p w14:paraId="6C14BFD9" w14:textId="6DBF591A" w:rsidR="00FB20DE" w:rsidRPr="00F47BA9" w:rsidRDefault="000D4574">
      <w:pPr>
        <w:pStyle w:val="10"/>
        <w:spacing w:before="0" w:after="0"/>
        <w:ind w:firstLine="0"/>
        <w:rPr>
          <w:rFonts w:ascii="Times New Roman" w:eastAsia="仿宋" w:hAnsi="Times New Roman"/>
          <w:b w:val="0"/>
          <w:caps w:val="0"/>
          <w:noProof/>
          <w:sz w:val="24"/>
          <w:szCs w:val="24"/>
        </w:rPr>
      </w:pPr>
      <w:hyperlink w:anchor="_Toc121842079" w:tooltip="当前文档" w:history="1">
        <w:r w:rsidR="00A6695E" w:rsidRPr="00F47BA9">
          <w:rPr>
            <w:rFonts w:ascii="Times New Roman" w:eastAsia="仿宋" w:hAnsi="Times New Roman" w:hint="eastAsia"/>
            <w:b w:val="0"/>
            <w:noProof/>
            <w:sz w:val="24"/>
            <w:szCs w:val="24"/>
          </w:rPr>
          <w:t>十四、基金管理人和基金托管人的更换</w:t>
        </w:r>
        <w:r w:rsidR="00A6695E" w:rsidRPr="00F47BA9">
          <w:rPr>
            <w:rFonts w:ascii="Times New Roman" w:eastAsia="仿宋" w:hAnsi="Times New Roman"/>
            <w:b w:val="0"/>
            <w:noProof/>
            <w:sz w:val="24"/>
            <w:szCs w:val="24"/>
          </w:rPr>
          <w:tab/>
        </w:r>
        <w:r w:rsidR="00A6695E" w:rsidRPr="00F47BA9">
          <w:rPr>
            <w:rFonts w:ascii="Times New Roman" w:eastAsia="仿宋" w:hAnsi="Times New Roman"/>
            <w:b w:val="0"/>
            <w:noProof/>
            <w:sz w:val="24"/>
            <w:szCs w:val="24"/>
          </w:rPr>
          <w:fldChar w:fldCharType="begin"/>
        </w:r>
        <w:r w:rsidR="00A6695E" w:rsidRPr="00F47BA9">
          <w:rPr>
            <w:rFonts w:ascii="Times New Roman" w:eastAsia="仿宋" w:hAnsi="Times New Roman"/>
            <w:b w:val="0"/>
            <w:noProof/>
            <w:sz w:val="24"/>
            <w:szCs w:val="24"/>
          </w:rPr>
          <w:instrText xml:space="preserve"> PAGEREF _Toc121842079 \h </w:instrText>
        </w:r>
        <w:r w:rsidR="00A6695E" w:rsidRPr="00F47BA9">
          <w:rPr>
            <w:rFonts w:ascii="Times New Roman" w:eastAsia="仿宋" w:hAnsi="Times New Roman"/>
            <w:b w:val="0"/>
            <w:noProof/>
            <w:sz w:val="24"/>
            <w:szCs w:val="24"/>
          </w:rPr>
        </w:r>
        <w:r w:rsidR="00A6695E"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40</w:t>
        </w:r>
        <w:r w:rsidR="00A6695E" w:rsidRPr="00F47BA9">
          <w:rPr>
            <w:rFonts w:ascii="Times New Roman" w:eastAsia="仿宋" w:hAnsi="Times New Roman"/>
            <w:b w:val="0"/>
            <w:noProof/>
            <w:sz w:val="24"/>
            <w:szCs w:val="24"/>
          </w:rPr>
          <w:fldChar w:fldCharType="end"/>
        </w:r>
      </w:hyperlink>
    </w:p>
    <w:p w14:paraId="7310CB09" w14:textId="339EBA4C" w:rsidR="00FB20DE" w:rsidRPr="00F47BA9" w:rsidRDefault="000D4574">
      <w:pPr>
        <w:pStyle w:val="10"/>
        <w:spacing w:before="0" w:after="0"/>
        <w:ind w:firstLine="0"/>
        <w:rPr>
          <w:rFonts w:ascii="Times New Roman" w:eastAsia="仿宋" w:hAnsi="Times New Roman"/>
          <w:b w:val="0"/>
          <w:caps w:val="0"/>
          <w:noProof/>
          <w:sz w:val="24"/>
          <w:szCs w:val="24"/>
        </w:rPr>
      </w:pPr>
      <w:hyperlink w:anchor="_Toc121842080" w:tooltip="当前文档" w:history="1">
        <w:r w:rsidR="00A6695E" w:rsidRPr="00F47BA9">
          <w:rPr>
            <w:rFonts w:ascii="Times New Roman" w:eastAsia="仿宋" w:hAnsi="Times New Roman" w:hint="eastAsia"/>
            <w:b w:val="0"/>
            <w:noProof/>
            <w:sz w:val="24"/>
            <w:szCs w:val="24"/>
          </w:rPr>
          <w:t>十五、禁止行为</w:t>
        </w:r>
        <w:r w:rsidR="00A6695E" w:rsidRPr="00F47BA9">
          <w:rPr>
            <w:rFonts w:ascii="Times New Roman" w:eastAsia="仿宋" w:hAnsi="Times New Roman"/>
            <w:b w:val="0"/>
            <w:noProof/>
            <w:sz w:val="24"/>
            <w:szCs w:val="24"/>
          </w:rPr>
          <w:tab/>
        </w:r>
        <w:r w:rsidR="00A6695E" w:rsidRPr="00F47BA9">
          <w:rPr>
            <w:rFonts w:ascii="Times New Roman" w:eastAsia="仿宋" w:hAnsi="Times New Roman"/>
            <w:b w:val="0"/>
            <w:noProof/>
            <w:sz w:val="24"/>
            <w:szCs w:val="24"/>
          </w:rPr>
          <w:fldChar w:fldCharType="begin"/>
        </w:r>
        <w:r w:rsidR="00A6695E" w:rsidRPr="00F47BA9">
          <w:rPr>
            <w:rFonts w:ascii="Times New Roman" w:eastAsia="仿宋" w:hAnsi="Times New Roman"/>
            <w:b w:val="0"/>
            <w:noProof/>
            <w:sz w:val="24"/>
            <w:szCs w:val="24"/>
          </w:rPr>
          <w:instrText xml:space="preserve"> PAGEREF _Toc121842080 \h </w:instrText>
        </w:r>
        <w:r w:rsidR="00A6695E" w:rsidRPr="00F47BA9">
          <w:rPr>
            <w:rFonts w:ascii="Times New Roman" w:eastAsia="仿宋" w:hAnsi="Times New Roman"/>
            <w:b w:val="0"/>
            <w:noProof/>
            <w:sz w:val="24"/>
            <w:szCs w:val="24"/>
          </w:rPr>
        </w:r>
        <w:r w:rsidR="00A6695E"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43</w:t>
        </w:r>
        <w:r w:rsidR="00A6695E" w:rsidRPr="00F47BA9">
          <w:rPr>
            <w:rFonts w:ascii="Times New Roman" w:eastAsia="仿宋" w:hAnsi="Times New Roman"/>
            <w:b w:val="0"/>
            <w:noProof/>
            <w:sz w:val="24"/>
            <w:szCs w:val="24"/>
          </w:rPr>
          <w:fldChar w:fldCharType="end"/>
        </w:r>
      </w:hyperlink>
    </w:p>
    <w:p w14:paraId="664A04FD" w14:textId="5ABDC060" w:rsidR="00FB20DE" w:rsidRPr="00F47BA9" w:rsidRDefault="000D4574">
      <w:pPr>
        <w:pStyle w:val="10"/>
        <w:spacing w:before="0" w:after="0"/>
        <w:ind w:firstLine="0"/>
        <w:rPr>
          <w:rFonts w:ascii="Times New Roman" w:eastAsia="仿宋" w:hAnsi="Times New Roman"/>
          <w:b w:val="0"/>
          <w:caps w:val="0"/>
          <w:noProof/>
          <w:sz w:val="24"/>
          <w:szCs w:val="24"/>
        </w:rPr>
      </w:pPr>
      <w:hyperlink w:anchor="_Toc121842081" w:tooltip="当前文档" w:history="1">
        <w:r w:rsidR="00A6695E" w:rsidRPr="00F47BA9">
          <w:rPr>
            <w:rFonts w:ascii="Times New Roman" w:eastAsia="仿宋" w:hAnsi="Times New Roman" w:hint="eastAsia"/>
            <w:b w:val="0"/>
            <w:noProof/>
            <w:sz w:val="24"/>
            <w:szCs w:val="24"/>
          </w:rPr>
          <w:t>十六、基金托管协议的变更、终止与基金财产的清算</w:t>
        </w:r>
        <w:r w:rsidR="00A6695E" w:rsidRPr="00F47BA9">
          <w:rPr>
            <w:rFonts w:ascii="Times New Roman" w:eastAsia="仿宋" w:hAnsi="Times New Roman"/>
            <w:b w:val="0"/>
            <w:noProof/>
            <w:sz w:val="24"/>
            <w:szCs w:val="24"/>
          </w:rPr>
          <w:tab/>
        </w:r>
        <w:r w:rsidR="00A6695E" w:rsidRPr="00F47BA9">
          <w:rPr>
            <w:rFonts w:ascii="Times New Roman" w:eastAsia="仿宋" w:hAnsi="Times New Roman"/>
            <w:b w:val="0"/>
            <w:noProof/>
            <w:sz w:val="24"/>
            <w:szCs w:val="24"/>
          </w:rPr>
          <w:fldChar w:fldCharType="begin"/>
        </w:r>
        <w:r w:rsidR="00A6695E" w:rsidRPr="00F47BA9">
          <w:rPr>
            <w:rFonts w:ascii="Times New Roman" w:eastAsia="仿宋" w:hAnsi="Times New Roman"/>
            <w:b w:val="0"/>
            <w:noProof/>
            <w:sz w:val="24"/>
            <w:szCs w:val="24"/>
          </w:rPr>
          <w:instrText xml:space="preserve"> PAGEREF _Toc121842081 \h </w:instrText>
        </w:r>
        <w:r w:rsidR="00A6695E" w:rsidRPr="00F47BA9">
          <w:rPr>
            <w:rFonts w:ascii="Times New Roman" w:eastAsia="仿宋" w:hAnsi="Times New Roman"/>
            <w:b w:val="0"/>
            <w:noProof/>
            <w:sz w:val="24"/>
            <w:szCs w:val="24"/>
          </w:rPr>
        </w:r>
        <w:r w:rsidR="00A6695E"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44</w:t>
        </w:r>
        <w:r w:rsidR="00A6695E" w:rsidRPr="00F47BA9">
          <w:rPr>
            <w:rFonts w:ascii="Times New Roman" w:eastAsia="仿宋" w:hAnsi="Times New Roman"/>
            <w:b w:val="0"/>
            <w:noProof/>
            <w:sz w:val="24"/>
            <w:szCs w:val="24"/>
          </w:rPr>
          <w:fldChar w:fldCharType="end"/>
        </w:r>
      </w:hyperlink>
    </w:p>
    <w:p w14:paraId="40AE4D54" w14:textId="7620C57E" w:rsidR="00FB20DE" w:rsidRPr="00F47BA9" w:rsidRDefault="000D4574">
      <w:pPr>
        <w:pStyle w:val="10"/>
        <w:spacing w:before="0" w:after="0"/>
        <w:ind w:firstLine="0"/>
        <w:rPr>
          <w:rFonts w:ascii="Times New Roman" w:eastAsia="仿宋" w:hAnsi="Times New Roman"/>
          <w:b w:val="0"/>
          <w:caps w:val="0"/>
          <w:noProof/>
          <w:sz w:val="24"/>
          <w:szCs w:val="24"/>
        </w:rPr>
      </w:pPr>
      <w:hyperlink w:anchor="_Toc121842082" w:tooltip="当前文档" w:history="1">
        <w:r w:rsidR="00A6695E" w:rsidRPr="00F47BA9">
          <w:rPr>
            <w:rFonts w:ascii="Times New Roman" w:eastAsia="仿宋" w:hAnsi="Times New Roman" w:hint="eastAsia"/>
            <w:b w:val="0"/>
            <w:noProof/>
            <w:sz w:val="24"/>
            <w:szCs w:val="24"/>
          </w:rPr>
          <w:t>十七、违约责任</w:t>
        </w:r>
        <w:r w:rsidR="00A6695E" w:rsidRPr="00F47BA9">
          <w:rPr>
            <w:rFonts w:ascii="Times New Roman" w:eastAsia="仿宋" w:hAnsi="Times New Roman"/>
            <w:b w:val="0"/>
            <w:noProof/>
            <w:sz w:val="24"/>
            <w:szCs w:val="24"/>
          </w:rPr>
          <w:tab/>
        </w:r>
        <w:r w:rsidR="00A6695E" w:rsidRPr="00F47BA9">
          <w:rPr>
            <w:rFonts w:ascii="Times New Roman" w:eastAsia="仿宋" w:hAnsi="Times New Roman"/>
            <w:b w:val="0"/>
            <w:noProof/>
            <w:sz w:val="24"/>
            <w:szCs w:val="24"/>
          </w:rPr>
          <w:fldChar w:fldCharType="begin"/>
        </w:r>
        <w:r w:rsidR="00A6695E" w:rsidRPr="00F47BA9">
          <w:rPr>
            <w:rFonts w:ascii="Times New Roman" w:eastAsia="仿宋" w:hAnsi="Times New Roman"/>
            <w:b w:val="0"/>
            <w:noProof/>
            <w:sz w:val="24"/>
            <w:szCs w:val="24"/>
          </w:rPr>
          <w:instrText xml:space="preserve"> PAGEREF _Toc121842082 \h </w:instrText>
        </w:r>
        <w:r w:rsidR="00A6695E" w:rsidRPr="00F47BA9">
          <w:rPr>
            <w:rFonts w:ascii="Times New Roman" w:eastAsia="仿宋" w:hAnsi="Times New Roman"/>
            <w:b w:val="0"/>
            <w:noProof/>
            <w:sz w:val="24"/>
            <w:szCs w:val="24"/>
          </w:rPr>
        </w:r>
        <w:r w:rsidR="00A6695E"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46</w:t>
        </w:r>
        <w:r w:rsidR="00A6695E" w:rsidRPr="00F47BA9">
          <w:rPr>
            <w:rFonts w:ascii="Times New Roman" w:eastAsia="仿宋" w:hAnsi="Times New Roman"/>
            <w:b w:val="0"/>
            <w:noProof/>
            <w:sz w:val="24"/>
            <w:szCs w:val="24"/>
          </w:rPr>
          <w:fldChar w:fldCharType="end"/>
        </w:r>
      </w:hyperlink>
    </w:p>
    <w:p w14:paraId="79D96D2C" w14:textId="73118196" w:rsidR="00FB20DE" w:rsidRPr="00F47BA9" w:rsidRDefault="000D4574">
      <w:pPr>
        <w:pStyle w:val="10"/>
        <w:spacing w:before="0" w:after="0"/>
        <w:ind w:firstLine="0"/>
        <w:rPr>
          <w:rFonts w:ascii="Times New Roman" w:eastAsia="仿宋" w:hAnsi="Times New Roman"/>
          <w:b w:val="0"/>
          <w:caps w:val="0"/>
          <w:noProof/>
          <w:sz w:val="24"/>
          <w:szCs w:val="24"/>
        </w:rPr>
      </w:pPr>
      <w:hyperlink w:anchor="_Toc121842083" w:tooltip="当前文档" w:history="1">
        <w:r w:rsidR="00A6695E" w:rsidRPr="00F47BA9">
          <w:rPr>
            <w:rFonts w:ascii="Times New Roman" w:eastAsia="仿宋" w:hAnsi="Times New Roman" w:hint="eastAsia"/>
            <w:b w:val="0"/>
            <w:noProof/>
            <w:sz w:val="24"/>
            <w:szCs w:val="24"/>
          </w:rPr>
          <w:t>十八、争议解决方式</w:t>
        </w:r>
        <w:r w:rsidR="00A6695E" w:rsidRPr="00F47BA9">
          <w:rPr>
            <w:rFonts w:ascii="Times New Roman" w:eastAsia="仿宋" w:hAnsi="Times New Roman"/>
            <w:b w:val="0"/>
            <w:noProof/>
            <w:sz w:val="24"/>
            <w:szCs w:val="24"/>
          </w:rPr>
          <w:tab/>
        </w:r>
        <w:r w:rsidR="00A6695E" w:rsidRPr="00F47BA9">
          <w:rPr>
            <w:rFonts w:ascii="Times New Roman" w:eastAsia="仿宋" w:hAnsi="Times New Roman"/>
            <w:b w:val="0"/>
            <w:noProof/>
            <w:sz w:val="24"/>
            <w:szCs w:val="24"/>
          </w:rPr>
          <w:fldChar w:fldCharType="begin"/>
        </w:r>
        <w:r w:rsidR="00A6695E" w:rsidRPr="00F47BA9">
          <w:rPr>
            <w:rFonts w:ascii="Times New Roman" w:eastAsia="仿宋" w:hAnsi="Times New Roman"/>
            <w:b w:val="0"/>
            <w:noProof/>
            <w:sz w:val="24"/>
            <w:szCs w:val="24"/>
          </w:rPr>
          <w:instrText xml:space="preserve"> PAGEREF _Toc121842083 \h </w:instrText>
        </w:r>
        <w:r w:rsidR="00A6695E" w:rsidRPr="00F47BA9">
          <w:rPr>
            <w:rFonts w:ascii="Times New Roman" w:eastAsia="仿宋" w:hAnsi="Times New Roman"/>
            <w:b w:val="0"/>
            <w:noProof/>
            <w:sz w:val="24"/>
            <w:szCs w:val="24"/>
          </w:rPr>
        </w:r>
        <w:r w:rsidR="00A6695E"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48</w:t>
        </w:r>
        <w:r w:rsidR="00A6695E" w:rsidRPr="00F47BA9">
          <w:rPr>
            <w:rFonts w:ascii="Times New Roman" w:eastAsia="仿宋" w:hAnsi="Times New Roman"/>
            <w:b w:val="0"/>
            <w:noProof/>
            <w:sz w:val="24"/>
            <w:szCs w:val="24"/>
          </w:rPr>
          <w:fldChar w:fldCharType="end"/>
        </w:r>
      </w:hyperlink>
    </w:p>
    <w:p w14:paraId="253E3323" w14:textId="538D9347" w:rsidR="00FB20DE" w:rsidRPr="00F47BA9" w:rsidRDefault="000D4574">
      <w:pPr>
        <w:pStyle w:val="10"/>
        <w:spacing w:before="0" w:after="0"/>
        <w:ind w:firstLine="0"/>
        <w:rPr>
          <w:rFonts w:ascii="Times New Roman" w:eastAsia="仿宋" w:hAnsi="Times New Roman"/>
          <w:b w:val="0"/>
          <w:caps w:val="0"/>
          <w:noProof/>
          <w:sz w:val="24"/>
          <w:szCs w:val="24"/>
        </w:rPr>
      </w:pPr>
      <w:hyperlink w:anchor="_Toc121842084" w:tooltip="当前文档" w:history="1">
        <w:r w:rsidR="00A6695E" w:rsidRPr="00F47BA9">
          <w:rPr>
            <w:rFonts w:ascii="Times New Roman" w:eastAsia="仿宋" w:hAnsi="Times New Roman" w:hint="eastAsia"/>
            <w:b w:val="0"/>
            <w:noProof/>
            <w:sz w:val="24"/>
            <w:szCs w:val="24"/>
          </w:rPr>
          <w:t>十九、基金托管协议的效力</w:t>
        </w:r>
        <w:r w:rsidR="00A6695E" w:rsidRPr="00F47BA9">
          <w:rPr>
            <w:rFonts w:ascii="Times New Roman" w:eastAsia="仿宋" w:hAnsi="Times New Roman"/>
            <w:b w:val="0"/>
            <w:noProof/>
            <w:sz w:val="24"/>
            <w:szCs w:val="24"/>
          </w:rPr>
          <w:tab/>
        </w:r>
        <w:r w:rsidR="00A6695E" w:rsidRPr="00F47BA9">
          <w:rPr>
            <w:rFonts w:ascii="Times New Roman" w:eastAsia="仿宋" w:hAnsi="Times New Roman"/>
            <w:b w:val="0"/>
            <w:noProof/>
            <w:sz w:val="24"/>
            <w:szCs w:val="24"/>
          </w:rPr>
          <w:fldChar w:fldCharType="begin"/>
        </w:r>
        <w:r w:rsidR="00A6695E" w:rsidRPr="00F47BA9">
          <w:rPr>
            <w:rFonts w:ascii="Times New Roman" w:eastAsia="仿宋" w:hAnsi="Times New Roman"/>
            <w:b w:val="0"/>
            <w:noProof/>
            <w:sz w:val="24"/>
            <w:szCs w:val="24"/>
          </w:rPr>
          <w:instrText xml:space="preserve"> PAGEREF _Toc121842084 \h </w:instrText>
        </w:r>
        <w:r w:rsidR="00A6695E" w:rsidRPr="00F47BA9">
          <w:rPr>
            <w:rFonts w:ascii="Times New Roman" w:eastAsia="仿宋" w:hAnsi="Times New Roman"/>
            <w:b w:val="0"/>
            <w:noProof/>
            <w:sz w:val="24"/>
            <w:szCs w:val="24"/>
          </w:rPr>
        </w:r>
        <w:r w:rsidR="00A6695E"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49</w:t>
        </w:r>
        <w:r w:rsidR="00A6695E" w:rsidRPr="00F47BA9">
          <w:rPr>
            <w:rFonts w:ascii="Times New Roman" w:eastAsia="仿宋" w:hAnsi="Times New Roman"/>
            <w:b w:val="0"/>
            <w:noProof/>
            <w:sz w:val="24"/>
            <w:szCs w:val="24"/>
          </w:rPr>
          <w:fldChar w:fldCharType="end"/>
        </w:r>
      </w:hyperlink>
    </w:p>
    <w:p w14:paraId="5E3C8CD2" w14:textId="69320F4C" w:rsidR="00FB20DE" w:rsidRPr="00F47BA9" w:rsidRDefault="000D4574">
      <w:pPr>
        <w:pStyle w:val="10"/>
        <w:spacing w:before="0" w:after="0"/>
        <w:ind w:firstLine="0"/>
        <w:rPr>
          <w:rFonts w:ascii="Times New Roman" w:eastAsia="仿宋" w:hAnsi="Times New Roman"/>
          <w:b w:val="0"/>
          <w:caps w:val="0"/>
          <w:noProof/>
          <w:sz w:val="24"/>
          <w:szCs w:val="24"/>
        </w:rPr>
      </w:pPr>
      <w:hyperlink w:anchor="_Toc121842085" w:tooltip="当前文档" w:history="1">
        <w:r w:rsidR="00A6695E" w:rsidRPr="00F47BA9">
          <w:rPr>
            <w:rFonts w:ascii="Times New Roman" w:eastAsia="仿宋" w:hAnsi="Times New Roman" w:hint="eastAsia"/>
            <w:b w:val="0"/>
            <w:noProof/>
            <w:sz w:val="24"/>
            <w:szCs w:val="24"/>
          </w:rPr>
          <w:t>二十、其他事项</w:t>
        </w:r>
        <w:r w:rsidR="00A6695E" w:rsidRPr="00F47BA9">
          <w:rPr>
            <w:rFonts w:ascii="Times New Roman" w:eastAsia="仿宋" w:hAnsi="Times New Roman"/>
            <w:b w:val="0"/>
            <w:noProof/>
            <w:sz w:val="24"/>
            <w:szCs w:val="24"/>
          </w:rPr>
          <w:tab/>
        </w:r>
        <w:r w:rsidR="00A6695E" w:rsidRPr="00F47BA9">
          <w:rPr>
            <w:rFonts w:ascii="Times New Roman" w:eastAsia="仿宋" w:hAnsi="Times New Roman"/>
            <w:b w:val="0"/>
            <w:noProof/>
            <w:sz w:val="24"/>
            <w:szCs w:val="24"/>
          </w:rPr>
          <w:fldChar w:fldCharType="begin"/>
        </w:r>
        <w:r w:rsidR="00A6695E" w:rsidRPr="00F47BA9">
          <w:rPr>
            <w:rFonts w:ascii="Times New Roman" w:eastAsia="仿宋" w:hAnsi="Times New Roman"/>
            <w:b w:val="0"/>
            <w:noProof/>
            <w:sz w:val="24"/>
            <w:szCs w:val="24"/>
          </w:rPr>
          <w:instrText xml:space="preserve"> PAGEREF _Toc121842085 \h </w:instrText>
        </w:r>
        <w:r w:rsidR="00A6695E" w:rsidRPr="00F47BA9">
          <w:rPr>
            <w:rFonts w:ascii="Times New Roman" w:eastAsia="仿宋" w:hAnsi="Times New Roman"/>
            <w:b w:val="0"/>
            <w:noProof/>
            <w:sz w:val="24"/>
            <w:szCs w:val="24"/>
          </w:rPr>
        </w:r>
        <w:r w:rsidR="00A6695E"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50</w:t>
        </w:r>
        <w:r w:rsidR="00A6695E" w:rsidRPr="00F47BA9">
          <w:rPr>
            <w:rFonts w:ascii="Times New Roman" w:eastAsia="仿宋" w:hAnsi="Times New Roman"/>
            <w:b w:val="0"/>
            <w:noProof/>
            <w:sz w:val="24"/>
            <w:szCs w:val="24"/>
          </w:rPr>
          <w:fldChar w:fldCharType="end"/>
        </w:r>
      </w:hyperlink>
    </w:p>
    <w:p w14:paraId="53F33C97" w14:textId="19A7FAA8" w:rsidR="00FB20DE" w:rsidRPr="00F47BA9" w:rsidRDefault="000D4574">
      <w:pPr>
        <w:pStyle w:val="10"/>
        <w:spacing w:before="0" w:after="0"/>
        <w:ind w:firstLine="0"/>
        <w:rPr>
          <w:rFonts w:ascii="Times New Roman" w:eastAsia="仿宋" w:hAnsi="Times New Roman"/>
          <w:b w:val="0"/>
          <w:caps w:val="0"/>
          <w:noProof/>
          <w:sz w:val="24"/>
          <w:szCs w:val="24"/>
        </w:rPr>
      </w:pPr>
      <w:hyperlink w:anchor="_Toc121842086" w:tooltip="当前文档" w:history="1">
        <w:r w:rsidR="00A6695E" w:rsidRPr="00F47BA9">
          <w:rPr>
            <w:rFonts w:ascii="Times New Roman" w:eastAsia="仿宋" w:hAnsi="Times New Roman" w:hint="eastAsia"/>
            <w:b w:val="0"/>
            <w:noProof/>
            <w:sz w:val="24"/>
            <w:szCs w:val="24"/>
          </w:rPr>
          <w:t>二十一、基金托管协议的签订</w:t>
        </w:r>
        <w:r w:rsidR="00A6695E" w:rsidRPr="00F47BA9">
          <w:rPr>
            <w:rFonts w:ascii="Times New Roman" w:eastAsia="仿宋" w:hAnsi="Times New Roman"/>
            <w:b w:val="0"/>
            <w:noProof/>
            <w:sz w:val="24"/>
            <w:szCs w:val="24"/>
          </w:rPr>
          <w:tab/>
        </w:r>
        <w:r w:rsidR="00A6695E" w:rsidRPr="00F47BA9">
          <w:rPr>
            <w:rFonts w:ascii="Times New Roman" w:eastAsia="仿宋" w:hAnsi="Times New Roman"/>
            <w:b w:val="0"/>
            <w:noProof/>
            <w:sz w:val="24"/>
            <w:szCs w:val="24"/>
          </w:rPr>
          <w:fldChar w:fldCharType="begin"/>
        </w:r>
        <w:r w:rsidR="00A6695E" w:rsidRPr="00F47BA9">
          <w:rPr>
            <w:rFonts w:ascii="Times New Roman" w:eastAsia="仿宋" w:hAnsi="Times New Roman"/>
            <w:b w:val="0"/>
            <w:noProof/>
            <w:sz w:val="24"/>
            <w:szCs w:val="24"/>
          </w:rPr>
          <w:instrText xml:space="preserve"> PAGEREF _Toc121842086 \h </w:instrText>
        </w:r>
        <w:r w:rsidR="00A6695E" w:rsidRPr="00F47BA9">
          <w:rPr>
            <w:rFonts w:ascii="Times New Roman" w:eastAsia="仿宋" w:hAnsi="Times New Roman"/>
            <w:b w:val="0"/>
            <w:noProof/>
            <w:sz w:val="24"/>
            <w:szCs w:val="24"/>
          </w:rPr>
        </w:r>
        <w:r w:rsidR="00A6695E" w:rsidRPr="00F47BA9">
          <w:rPr>
            <w:rFonts w:ascii="Times New Roman" w:eastAsia="仿宋" w:hAnsi="Times New Roman"/>
            <w:b w:val="0"/>
            <w:noProof/>
            <w:sz w:val="24"/>
            <w:szCs w:val="24"/>
          </w:rPr>
          <w:fldChar w:fldCharType="separate"/>
        </w:r>
        <w:r w:rsidR="007A256D">
          <w:rPr>
            <w:rFonts w:ascii="Times New Roman" w:eastAsia="仿宋" w:hAnsi="Times New Roman"/>
            <w:b w:val="0"/>
            <w:noProof/>
            <w:sz w:val="24"/>
            <w:szCs w:val="24"/>
          </w:rPr>
          <w:t>51</w:t>
        </w:r>
        <w:r w:rsidR="00A6695E" w:rsidRPr="00F47BA9">
          <w:rPr>
            <w:rFonts w:ascii="Times New Roman" w:eastAsia="仿宋" w:hAnsi="Times New Roman"/>
            <w:b w:val="0"/>
            <w:noProof/>
            <w:sz w:val="24"/>
            <w:szCs w:val="24"/>
          </w:rPr>
          <w:fldChar w:fldCharType="end"/>
        </w:r>
      </w:hyperlink>
    </w:p>
    <w:p w14:paraId="356840B4" w14:textId="77777777" w:rsidR="00FB20DE" w:rsidRPr="00F47BA9" w:rsidRDefault="00A6695E">
      <w:pPr>
        <w:pStyle w:val="10"/>
        <w:tabs>
          <w:tab w:val="clear" w:pos="8455"/>
          <w:tab w:val="right" w:leader="dot" w:pos="8296"/>
        </w:tabs>
        <w:spacing w:before="0" w:after="0"/>
        <w:ind w:firstLine="0"/>
        <w:rPr>
          <w:rStyle w:val="af7"/>
          <w:rFonts w:ascii="Times New Roman" w:eastAsia="仿宋" w:hAnsi="Times New Roman"/>
          <w:b w:val="0"/>
          <w:bCs/>
          <w:color w:val="auto"/>
          <w:sz w:val="24"/>
          <w:szCs w:val="24"/>
        </w:rPr>
      </w:pPr>
      <w:r w:rsidRPr="00F47BA9">
        <w:rPr>
          <w:rStyle w:val="af7"/>
          <w:rFonts w:ascii="Times New Roman" w:eastAsia="仿宋" w:hAnsi="Times New Roman"/>
          <w:b w:val="0"/>
          <w:bCs/>
          <w:color w:val="auto"/>
          <w:sz w:val="24"/>
          <w:szCs w:val="24"/>
        </w:rPr>
        <w:fldChar w:fldCharType="end"/>
      </w:r>
    </w:p>
    <w:p w14:paraId="7B86F6AE" w14:textId="77777777" w:rsidR="00FB20DE" w:rsidRPr="00F47BA9" w:rsidRDefault="00FB20DE">
      <w:pPr>
        <w:rPr>
          <w:rFonts w:ascii="Times New Roman" w:eastAsia="仿宋" w:hAnsi="Times New Roman"/>
        </w:rPr>
        <w:sectPr w:rsidR="00FB20DE" w:rsidRPr="00F47BA9">
          <w:headerReference w:type="default" r:id="rId13"/>
          <w:footerReference w:type="default" r:id="rId14"/>
          <w:pgSz w:w="11906" w:h="16838"/>
          <w:pgMar w:top="1440" w:right="1797" w:bottom="1440" w:left="1797" w:header="851" w:footer="992" w:gutter="0"/>
          <w:pgNumType w:start="1"/>
          <w:cols w:space="720"/>
          <w:titlePg/>
          <w:docGrid w:linePitch="360"/>
        </w:sectPr>
      </w:pPr>
    </w:p>
    <w:p w14:paraId="03B26162" w14:textId="77777777" w:rsidR="00FB20DE" w:rsidRPr="00F47BA9" w:rsidRDefault="00A6695E">
      <w:pPr>
        <w:spacing w:after="0" w:line="360" w:lineRule="auto"/>
        <w:ind w:firstLine="480"/>
        <w:rPr>
          <w:rFonts w:ascii="Times New Roman" w:eastAsia="仿宋" w:hAnsi="Times New Roman"/>
          <w:sz w:val="24"/>
          <w:lang w:eastAsia="zh-CN"/>
        </w:rPr>
      </w:pPr>
      <w:bookmarkStart w:id="1" w:name="_Toc125892432"/>
      <w:bookmarkStart w:id="2" w:name="_Toc523829992"/>
      <w:bookmarkStart w:id="3" w:name="_Toc22454432"/>
      <w:r w:rsidRPr="00F47BA9">
        <w:rPr>
          <w:rFonts w:ascii="Times New Roman" w:eastAsia="仿宋" w:hAnsi="Times New Roman" w:hint="eastAsia"/>
          <w:sz w:val="24"/>
          <w:lang w:eastAsia="zh-CN"/>
        </w:rPr>
        <w:lastRenderedPageBreak/>
        <w:t>鉴于</w:t>
      </w:r>
      <w:proofErr w:type="gramStart"/>
      <w:r w:rsidRPr="00F47BA9">
        <w:rPr>
          <w:rFonts w:ascii="Times New Roman" w:eastAsia="仿宋" w:hAnsi="Times New Roman" w:hint="eastAsia"/>
          <w:sz w:val="24"/>
          <w:lang w:eastAsia="zh-CN"/>
        </w:rPr>
        <w:t>鑫元基金</w:t>
      </w:r>
      <w:proofErr w:type="gramEnd"/>
      <w:r w:rsidRPr="00F47BA9">
        <w:rPr>
          <w:rFonts w:ascii="Times New Roman" w:eastAsia="仿宋" w:hAnsi="Times New Roman" w:hint="eastAsia"/>
          <w:sz w:val="24"/>
          <w:lang w:eastAsia="zh-CN"/>
        </w:rPr>
        <w:t>管理有限公司系一家依照中国法律合法成立并有效存续的有限责任公司，按照相关法律法规的规定具备担任基金管理人的资格和能力，拟募集</w:t>
      </w:r>
      <w:proofErr w:type="gramStart"/>
      <w:r w:rsidRPr="00F47BA9">
        <w:rPr>
          <w:rFonts w:ascii="Times New Roman" w:eastAsia="仿宋" w:hAnsi="Times New Roman" w:hint="eastAsia"/>
          <w:sz w:val="24"/>
          <w:lang w:eastAsia="zh-CN"/>
        </w:rPr>
        <w:t>鑫</w:t>
      </w:r>
      <w:proofErr w:type="gramEnd"/>
      <w:r w:rsidRPr="00F47BA9">
        <w:rPr>
          <w:rFonts w:ascii="Times New Roman" w:eastAsia="仿宋" w:hAnsi="Times New Roman" w:hint="eastAsia"/>
          <w:sz w:val="24"/>
          <w:lang w:eastAsia="zh-CN"/>
        </w:rPr>
        <w:t>元启</w:t>
      </w:r>
      <w:proofErr w:type="gramStart"/>
      <w:r w:rsidRPr="00F47BA9">
        <w:rPr>
          <w:rFonts w:ascii="Times New Roman" w:eastAsia="仿宋" w:hAnsi="Times New Roman" w:hint="eastAsia"/>
          <w:sz w:val="24"/>
          <w:lang w:eastAsia="zh-CN"/>
        </w:rPr>
        <w:t>鑫</w:t>
      </w:r>
      <w:proofErr w:type="gramEnd"/>
      <w:r w:rsidRPr="00F47BA9">
        <w:rPr>
          <w:rFonts w:ascii="Times New Roman" w:eastAsia="仿宋" w:hAnsi="Times New Roman" w:hint="eastAsia"/>
          <w:sz w:val="24"/>
          <w:lang w:eastAsia="zh-CN"/>
        </w:rPr>
        <w:t>添益</w:t>
      </w:r>
      <w:r w:rsidRPr="00F47BA9">
        <w:rPr>
          <w:rFonts w:ascii="Times New Roman" w:eastAsia="仿宋" w:hAnsi="Times New Roman" w:hint="eastAsia"/>
          <w:sz w:val="24"/>
          <w:lang w:eastAsia="zh-CN"/>
        </w:rPr>
        <w:t>180</w:t>
      </w:r>
      <w:r w:rsidRPr="00F47BA9">
        <w:rPr>
          <w:rFonts w:ascii="Times New Roman" w:eastAsia="仿宋" w:hAnsi="Times New Roman" w:hint="eastAsia"/>
          <w:sz w:val="24"/>
          <w:lang w:eastAsia="zh-CN"/>
        </w:rPr>
        <w:t>天持有期债券型证券投资基金；</w:t>
      </w:r>
      <w:bookmarkEnd w:id="1"/>
    </w:p>
    <w:p w14:paraId="6D4E9CEE" w14:textId="77777777" w:rsidR="00FB20DE" w:rsidRPr="00F47BA9" w:rsidRDefault="00A6695E">
      <w:pPr>
        <w:spacing w:after="0" w:line="360" w:lineRule="auto"/>
        <w:ind w:firstLine="480"/>
        <w:rPr>
          <w:rFonts w:ascii="Times New Roman" w:eastAsia="仿宋" w:hAnsi="Times New Roman"/>
          <w:sz w:val="24"/>
          <w:lang w:eastAsia="zh-CN"/>
        </w:rPr>
      </w:pPr>
      <w:bookmarkStart w:id="4" w:name="_Toc125892433"/>
      <w:r w:rsidRPr="00F47BA9">
        <w:rPr>
          <w:rFonts w:ascii="Times New Roman" w:eastAsia="仿宋" w:hAnsi="Times New Roman" w:hint="eastAsia"/>
          <w:sz w:val="24"/>
          <w:lang w:eastAsia="zh-CN"/>
        </w:rPr>
        <w:t>鉴于徽商银行股份有限公司系一家依照中国法律合法成立并有效存续的银行，按照相关法律法规的规定具备担任基金托管人的资格和能力；</w:t>
      </w:r>
      <w:bookmarkEnd w:id="4"/>
    </w:p>
    <w:p w14:paraId="7BE7365E" w14:textId="77777777" w:rsidR="00FB20DE" w:rsidRPr="00F47BA9" w:rsidRDefault="00A6695E">
      <w:pPr>
        <w:spacing w:after="0" w:line="360" w:lineRule="auto"/>
        <w:ind w:firstLine="480"/>
        <w:rPr>
          <w:rFonts w:ascii="Times New Roman" w:eastAsia="仿宋" w:hAnsi="Times New Roman"/>
          <w:sz w:val="24"/>
          <w:lang w:eastAsia="zh-CN"/>
        </w:rPr>
      </w:pPr>
      <w:bookmarkStart w:id="5" w:name="_Toc125892434"/>
      <w:r w:rsidRPr="00F47BA9">
        <w:rPr>
          <w:rFonts w:ascii="Times New Roman" w:eastAsia="仿宋" w:hAnsi="Times New Roman" w:hint="eastAsia"/>
          <w:sz w:val="24"/>
          <w:lang w:eastAsia="zh-CN"/>
        </w:rPr>
        <w:t>鉴于</w:t>
      </w:r>
      <w:proofErr w:type="gramStart"/>
      <w:r w:rsidRPr="00F47BA9">
        <w:rPr>
          <w:rFonts w:ascii="Times New Roman" w:eastAsia="仿宋" w:hAnsi="Times New Roman" w:hint="eastAsia"/>
          <w:sz w:val="24"/>
          <w:lang w:eastAsia="zh-CN"/>
        </w:rPr>
        <w:t>鑫元基金</w:t>
      </w:r>
      <w:proofErr w:type="gramEnd"/>
      <w:r w:rsidRPr="00F47BA9">
        <w:rPr>
          <w:rFonts w:ascii="Times New Roman" w:eastAsia="仿宋" w:hAnsi="Times New Roman" w:hint="eastAsia"/>
          <w:sz w:val="24"/>
          <w:lang w:eastAsia="zh-CN"/>
        </w:rPr>
        <w:t>管理有限公司拟担任</w:t>
      </w:r>
      <w:proofErr w:type="gramStart"/>
      <w:r w:rsidRPr="00F47BA9">
        <w:rPr>
          <w:rFonts w:ascii="Times New Roman" w:eastAsia="仿宋" w:hAnsi="Times New Roman" w:hint="eastAsia"/>
          <w:sz w:val="24"/>
          <w:lang w:eastAsia="zh-CN"/>
        </w:rPr>
        <w:t>鑫</w:t>
      </w:r>
      <w:proofErr w:type="gramEnd"/>
      <w:r w:rsidRPr="00F47BA9">
        <w:rPr>
          <w:rFonts w:ascii="Times New Roman" w:eastAsia="仿宋" w:hAnsi="Times New Roman" w:hint="eastAsia"/>
          <w:sz w:val="24"/>
          <w:lang w:eastAsia="zh-CN"/>
        </w:rPr>
        <w:t>元启</w:t>
      </w:r>
      <w:proofErr w:type="gramStart"/>
      <w:r w:rsidRPr="00F47BA9">
        <w:rPr>
          <w:rFonts w:ascii="Times New Roman" w:eastAsia="仿宋" w:hAnsi="Times New Roman" w:hint="eastAsia"/>
          <w:sz w:val="24"/>
          <w:lang w:eastAsia="zh-CN"/>
        </w:rPr>
        <w:t>鑫</w:t>
      </w:r>
      <w:proofErr w:type="gramEnd"/>
      <w:r w:rsidRPr="00F47BA9">
        <w:rPr>
          <w:rFonts w:ascii="Times New Roman" w:eastAsia="仿宋" w:hAnsi="Times New Roman" w:hint="eastAsia"/>
          <w:sz w:val="24"/>
          <w:lang w:eastAsia="zh-CN"/>
        </w:rPr>
        <w:t>添益</w:t>
      </w:r>
      <w:r w:rsidRPr="00F47BA9">
        <w:rPr>
          <w:rFonts w:ascii="Times New Roman" w:eastAsia="仿宋" w:hAnsi="Times New Roman" w:hint="eastAsia"/>
          <w:sz w:val="24"/>
          <w:lang w:eastAsia="zh-CN"/>
        </w:rPr>
        <w:t>180</w:t>
      </w:r>
      <w:r w:rsidRPr="00F47BA9">
        <w:rPr>
          <w:rFonts w:ascii="Times New Roman" w:eastAsia="仿宋" w:hAnsi="Times New Roman" w:hint="eastAsia"/>
          <w:sz w:val="24"/>
          <w:lang w:eastAsia="zh-CN"/>
        </w:rPr>
        <w:t>天持有期债券型证券投资基金的基金管理人，</w:t>
      </w:r>
      <w:r w:rsidRPr="00F47BA9">
        <w:rPr>
          <w:rFonts w:ascii="Times New Roman" w:eastAsia="仿宋" w:hAnsi="Times New Roman"/>
          <w:sz w:val="24"/>
          <w:lang w:eastAsia="zh-CN"/>
        </w:rPr>
        <w:t>徽商</w:t>
      </w:r>
      <w:r w:rsidRPr="00F47BA9">
        <w:rPr>
          <w:rFonts w:ascii="Times New Roman" w:eastAsia="仿宋" w:hAnsi="Times New Roman" w:hint="eastAsia"/>
          <w:sz w:val="24"/>
          <w:lang w:eastAsia="zh-CN"/>
        </w:rPr>
        <w:t>银行股份有限公司拟担任</w:t>
      </w:r>
      <w:proofErr w:type="gramStart"/>
      <w:r w:rsidRPr="00F47BA9">
        <w:rPr>
          <w:rFonts w:ascii="Times New Roman" w:eastAsia="仿宋" w:hAnsi="Times New Roman" w:hint="eastAsia"/>
          <w:sz w:val="24"/>
          <w:lang w:eastAsia="zh-CN"/>
        </w:rPr>
        <w:t>鑫</w:t>
      </w:r>
      <w:proofErr w:type="gramEnd"/>
      <w:r w:rsidRPr="00F47BA9">
        <w:rPr>
          <w:rFonts w:ascii="Times New Roman" w:eastAsia="仿宋" w:hAnsi="Times New Roman" w:hint="eastAsia"/>
          <w:sz w:val="24"/>
          <w:lang w:eastAsia="zh-CN"/>
        </w:rPr>
        <w:t>元启</w:t>
      </w:r>
      <w:proofErr w:type="gramStart"/>
      <w:r w:rsidRPr="00F47BA9">
        <w:rPr>
          <w:rFonts w:ascii="Times New Roman" w:eastAsia="仿宋" w:hAnsi="Times New Roman" w:hint="eastAsia"/>
          <w:sz w:val="24"/>
          <w:lang w:eastAsia="zh-CN"/>
        </w:rPr>
        <w:t>鑫</w:t>
      </w:r>
      <w:proofErr w:type="gramEnd"/>
      <w:r w:rsidRPr="00F47BA9">
        <w:rPr>
          <w:rFonts w:ascii="Times New Roman" w:eastAsia="仿宋" w:hAnsi="Times New Roman" w:hint="eastAsia"/>
          <w:sz w:val="24"/>
          <w:lang w:eastAsia="zh-CN"/>
        </w:rPr>
        <w:t>添益</w:t>
      </w:r>
      <w:r w:rsidRPr="00F47BA9">
        <w:rPr>
          <w:rFonts w:ascii="Times New Roman" w:eastAsia="仿宋" w:hAnsi="Times New Roman" w:hint="eastAsia"/>
          <w:sz w:val="24"/>
          <w:lang w:eastAsia="zh-CN"/>
        </w:rPr>
        <w:t>180</w:t>
      </w:r>
      <w:r w:rsidRPr="00F47BA9">
        <w:rPr>
          <w:rFonts w:ascii="Times New Roman" w:eastAsia="仿宋" w:hAnsi="Times New Roman" w:hint="eastAsia"/>
          <w:sz w:val="24"/>
          <w:lang w:eastAsia="zh-CN"/>
        </w:rPr>
        <w:t>天持有期债券型证券投资基金的基金托管人；</w:t>
      </w:r>
      <w:bookmarkEnd w:id="5"/>
    </w:p>
    <w:p w14:paraId="701DA12B" w14:textId="77777777" w:rsidR="00FB20DE" w:rsidRPr="00F47BA9" w:rsidRDefault="00A6695E">
      <w:pPr>
        <w:spacing w:after="0" w:line="360" w:lineRule="auto"/>
        <w:ind w:firstLine="480"/>
        <w:rPr>
          <w:rFonts w:ascii="Times New Roman" w:eastAsia="仿宋" w:hAnsi="Times New Roman"/>
          <w:sz w:val="24"/>
          <w:lang w:eastAsia="zh-CN"/>
        </w:rPr>
      </w:pPr>
      <w:bookmarkStart w:id="6" w:name="_Toc125892435"/>
      <w:bookmarkStart w:id="7" w:name="_Toc125892437"/>
      <w:r w:rsidRPr="00F47BA9">
        <w:rPr>
          <w:rFonts w:ascii="Times New Roman" w:eastAsia="仿宋" w:hAnsi="Times New Roman" w:hint="eastAsia"/>
          <w:sz w:val="24"/>
          <w:lang w:eastAsia="zh-CN"/>
        </w:rPr>
        <w:t>为明确</w:t>
      </w:r>
      <w:proofErr w:type="gramStart"/>
      <w:r w:rsidRPr="00F47BA9">
        <w:rPr>
          <w:rFonts w:ascii="Times New Roman" w:eastAsia="仿宋" w:hAnsi="Times New Roman" w:hint="eastAsia"/>
          <w:sz w:val="24"/>
          <w:lang w:eastAsia="zh-CN"/>
        </w:rPr>
        <w:t>鑫</w:t>
      </w:r>
      <w:proofErr w:type="gramEnd"/>
      <w:r w:rsidRPr="00F47BA9">
        <w:rPr>
          <w:rFonts w:ascii="Times New Roman" w:eastAsia="仿宋" w:hAnsi="Times New Roman" w:hint="eastAsia"/>
          <w:sz w:val="24"/>
          <w:lang w:eastAsia="zh-CN"/>
        </w:rPr>
        <w:t>元启</w:t>
      </w:r>
      <w:proofErr w:type="gramStart"/>
      <w:r w:rsidRPr="00F47BA9">
        <w:rPr>
          <w:rFonts w:ascii="Times New Roman" w:eastAsia="仿宋" w:hAnsi="Times New Roman" w:hint="eastAsia"/>
          <w:sz w:val="24"/>
          <w:lang w:eastAsia="zh-CN"/>
        </w:rPr>
        <w:t>鑫</w:t>
      </w:r>
      <w:proofErr w:type="gramEnd"/>
      <w:r w:rsidRPr="00F47BA9">
        <w:rPr>
          <w:rFonts w:ascii="Times New Roman" w:eastAsia="仿宋" w:hAnsi="Times New Roman" w:hint="eastAsia"/>
          <w:sz w:val="24"/>
          <w:lang w:eastAsia="zh-CN"/>
        </w:rPr>
        <w:t>添益</w:t>
      </w:r>
      <w:r w:rsidRPr="00F47BA9">
        <w:rPr>
          <w:rFonts w:ascii="Times New Roman" w:eastAsia="仿宋" w:hAnsi="Times New Roman" w:hint="eastAsia"/>
          <w:sz w:val="24"/>
          <w:lang w:eastAsia="zh-CN"/>
        </w:rPr>
        <w:t>180</w:t>
      </w:r>
      <w:r w:rsidRPr="00F47BA9">
        <w:rPr>
          <w:rFonts w:ascii="Times New Roman" w:eastAsia="仿宋" w:hAnsi="Times New Roman" w:hint="eastAsia"/>
          <w:sz w:val="24"/>
          <w:lang w:eastAsia="zh-CN"/>
        </w:rPr>
        <w:t>天持有期债券型证券投资基金（以下简称“本基金”或“基金”）的基金管理人和基金托管人之间的权利义务关系，特制订本托管协议；</w:t>
      </w:r>
      <w:bookmarkEnd w:id="6"/>
    </w:p>
    <w:p w14:paraId="3BBCD38D" w14:textId="77777777" w:rsidR="00FB20DE" w:rsidRPr="00F47BA9" w:rsidRDefault="00A6695E">
      <w:pPr>
        <w:spacing w:after="0" w:line="360" w:lineRule="auto"/>
        <w:ind w:firstLine="480"/>
        <w:rPr>
          <w:rFonts w:ascii="Times New Roman" w:eastAsia="仿宋" w:hAnsi="Times New Roman"/>
          <w:sz w:val="24"/>
          <w:lang w:eastAsia="zh-CN"/>
        </w:rPr>
      </w:pPr>
      <w:bookmarkStart w:id="8" w:name="_Toc125892436"/>
      <w:r w:rsidRPr="00F47BA9">
        <w:rPr>
          <w:rFonts w:ascii="Times New Roman" w:eastAsia="仿宋" w:hAnsi="Times New Roman" w:hint="eastAsia"/>
          <w:sz w:val="24"/>
          <w:lang w:eastAsia="zh-CN"/>
        </w:rPr>
        <w:t>除非文义另有所指，本协议的所有术语与《鑫元启鑫添益</w:t>
      </w:r>
      <w:r w:rsidRPr="00F47BA9">
        <w:rPr>
          <w:rFonts w:ascii="Times New Roman" w:eastAsia="仿宋" w:hAnsi="Times New Roman" w:hint="eastAsia"/>
          <w:sz w:val="24"/>
          <w:lang w:eastAsia="zh-CN"/>
        </w:rPr>
        <w:t>180</w:t>
      </w:r>
      <w:r w:rsidRPr="00F47BA9">
        <w:rPr>
          <w:rFonts w:ascii="Times New Roman" w:eastAsia="仿宋" w:hAnsi="Times New Roman" w:hint="eastAsia"/>
          <w:sz w:val="24"/>
          <w:lang w:eastAsia="zh-CN"/>
        </w:rPr>
        <w:t>天持有期债券型证券投资基金基金合同》（以下简称“《基金合同》”或“基金合同”）中定义的相应术语具有相同的含义。若有抵触应以《基金合同》为准，并依其条款解释。</w:t>
      </w:r>
      <w:bookmarkEnd w:id="8"/>
    </w:p>
    <w:p w14:paraId="560C9579" w14:textId="77777777" w:rsidR="00FB20DE" w:rsidRPr="00F47BA9" w:rsidRDefault="00A6695E">
      <w:pPr>
        <w:pStyle w:val="1"/>
        <w:pageBreakBefore/>
        <w:jc w:val="center"/>
        <w:rPr>
          <w:rFonts w:ascii="Times New Roman" w:eastAsia="仿宋" w:hAnsi="Times New Roman"/>
          <w:color w:val="auto"/>
          <w:lang w:eastAsia="zh-CN"/>
        </w:rPr>
      </w:pPr>
      <w:bookmarkStart w:id="9" w:name="_Toc121842066"/>
      <w:r w:rsidRPr="00F47BA9">
        <w:rPr>
          <w:rFonts w:ascii="Times New Roman" w:eastAsia="仿宋" w:hAnsi="Times New Roman" w:hint="eastAsia"/>
          <w:color w:val="auto"/>
          <w:lang w:eastAsia="zh-CN"/>
        </w:rPr>
        <w:lastRenderedPageBreak/>
        <w:t>一、基金托管协议当事人</w:t>
      </w:r>
      <w:bookmarkEnd w:id="2"/>
      <w:bookmarkEnd w:id="3"/>
      <w:bookmarkEnd w:id="7"/>
      <w:bookmarkEnd w:id="9"/>
    </w:p>
    <w:p w14:paraId="3BCF2736" w14:textId="77777777" w:rsidR="00FB20DE" w:rsidRPr="00F47BA9" w:rsidRDefault="00A6695E">
      <w:pPr>
        <w:spacing w:after="0" w:line="360" w:lineRule="auto"/>
        <w:ind w:firstLine="480"/>
        <w:rPr>
          <w:rFonts w:ascii="Times New Roman" w:eastAsia="仿宋" w:hAnsi="Times New Roman"/>
          <w:sz w:val="24"/>
          <w:lang w:eastAsia="zh-CN"/>
        </w:rPr>
      </w:pPr>
      <w:bookmarkStart w:id="10" w:name="_Toc22454433"/>
      <w:bookmarkStart w:id="11" w:name="_Toc77662992"/>
      <w:r w:rsidRPr="00F47BA9">
        <w:rPr>
          <w:rFonts w:ascii="Times New Roman" w:eastAsia="仿宋" w:hAnsi="Times New Roman" w:hint="eastAsia"/>
          <w:sz w:val="24"/>
          <w:lang w:eastAsia="zh-CN"/>
        </w:rPr>
        <w:t>（一）基金管理人</w:t>
      </w:r>
      <w:bookmarkEnd w:id="10"/>
      <w:bookmarkEnd w:id="11"/>
    </w:p>
    <w:p w14:paraId="15201DCF"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名称：</w:t>
      </w:r>
      <w:proofErr w:type="gramStart"/>
      <w:r w:rsidRPr="00F47BA9">
        <w:rPr>
          <w:rFonts w:ascii="Times New Roman" w:eastAsia="仿宋" w:hAnsi="Times New Roman" w:hint="eastAsia"/>
          <w:sz w:val="24"/>
          <w:lang w:eastAsia="zh-CN"/>
        </w:rPr>
        <w:t>鑫元基金</w:t>
      </w:r>
      <w:proofErr w:type="gramEnd"/>
      <w:r w:rsidRPr="00F47BA9">
        <w:rPr>
          <w:rFonts w:ascii="Times New Roman" w:eastAsia="仿宋" w:hAnsi="Times New Roman" w:hint="eastAsia"/>
          <w:sz w:val="24"/>
          <w:lang w:eastAsia="zh-CN"/>
        </w:rPr>
        <w:t>管理有限公司</w:t>
      </w:r>
    </w:p>
    <w:p w14:paraId="0C2443DA"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住所：上海市静安区中山北路</w:t>
      </w:r>
      <w:r w:rsidRPr="00F47BA9">
        <w:rPr>
          <w:rFonts w:ascii="Times New Roman" w:eastAsia="仿宋" w:hAnsi="Times New Roman" w:hint="eastAsia"/>
          <w:sz w:val="24"/>
          <w:lang w:eastAsia="zh-CN"/>
        </w:rPr>
        <w:t>909</w:t>
      </w:r>
      <w:r w:rsidRPr="00F47BA9">
        <w:rPr>
          <w:rFonts w:ascii="Times New Roman" w:eastAsia="仿宋" w:hAnsi="Times New Roman" w:hint="eastAsia"/>
          <w:sz w:val="24"/>
          <w:lang w:eastAsia="zh-CN"/>
        </w:rPr>
        <w:t>号</w:t>
      </w:r>
      <w:r w:rsidRPr="00F47BA9">
        <w:rPr>
          <w:rFonts w:ascii="Times New Roman" w:eastAsia="仿宋" w:hAnsi="Times New Roman" w:hint="eastAsia"/>
          <w:sz w:val="24"/>
          <w:lang w:eastAsia="zh-CN"/>
        </w:rPr>
        <w:t>12</w:t>
      </w:r>
      <w:r w:rsidRPr="00F47BA9">
        <w:rPr>
          <w:rFonts w:ascii="Times New Roman" w:eastAsia="仿宋" w:hAnsi="Times New Roman" w:hint="eastAsia"/>
          <w:sz w:val="24"/>
          <w:lang w:eastAsia="zh-CN"/>
        </w:rPr>
        <w:t>层</w:t>
      </w:r>
    </w:p>
    <w:p w14:paraId="664BB7C4"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办公地址：上海市静安区中山北路</w:t>
      </w:r>
      <w:r w:rsidRPr="00F47BA9">
        <w:rPr>
          <w:rFonts w:ascii="Times New Roman" w:eastAsia="仿宋" w:hAnsi="Times New Roman" w:hint="eastAsia"/>
          <w:sz w:val="24"/>
          <w:lang w:eastAsia="zh-CN"/>
        </w:rPr>
        <w:t>909</w:t>
      </w:r>
      <w:r w:rsidRPr="00F47BA9">
        <w:rPr>
          <w:rFonts w:ascii="Times New Roman" w:eastAsia="仿宋" w:hAnsi="Times New Roman" w:hint="eastAsia"/>
          <w:sz w:val="24"/>
          <w:lang w:eastAsia="zh-CN"/>
        </w:rPr>
        <w:t>号</w:t>
      </w:r>
      <w:r w:rsidRPr="00F47BA9">
        <w:rPr>
          <w:rFonts w:ascii="Times New Roman" w:eastAsia="仿宋" w:hAnsi="Times New Roman" w:hint="eastAsia"/>
          <w:sz w:val="24"/>
          <w:lang w:eastAsia="zh-CN"/>
        </w:rPr>
        <w:t>12</w:t>
      </w:r>
      <w:r w:rsidRPr="00F47BA9">
        <w:rPr>
          <w:rFonts w:ascii="Times New Roman" w:eastAsia="仿宋" w:hAnsi="Times New Roman" w:hint="eastAsia"/>
          <w:sz w:val="24"/>
          <w:lang w:eastAsia="zh-CN"/>
        </w:rPr>
        <w:t>层</w:t>
      </w:r>
    </w:p>
    <w:p w14:paraId="01D5D58A"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法定代表人：龙艺</w:t>
      </w:r>
    </w:p>
    <w:p w14:paraId="036DC1D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成立时间：</w:t>
      </w:r>
      <w:r w:rsidRPr="00F47BA9">
        <w:rPr>
          <w:rFonts w:ascii="Times New Roman" w:eastAsia="仿宋" w:hAnsi="Times New Roman" w:hint="eastAsia"/>
          <w:sz w:val="24"/>
          <w:lang w:eastAsia="zh-CN"/>
        </w:rPr>
        <w:t>2013</w:t>
      </w:r>
      <w:r w:rsidRPr="00F47BA9">
        <w:rPr>
          <w:rFonts w:ascii="Times New Roman" w:eastAsia="仿宋" w:hAnsi="Times New Roman" w:hint="eastAsia"/>
          <w:sz w:val="24"/>
          <w:lang w:eastAsia="zh-CN"/>
        </w:rPr>
        <w:t>年</w:t>
      </w:r>
      <w:r w:rsidRPr="00F47BA9">
        <w:rPr>
          <w:rFonts w:ascii="Times New Roman" w:eastAsia="仿宋" w:hAnsi="Times New Roman" w:hint="eastAsia"/>
          <w:sz w:val="24"/>
          <w:lang w:eastAsia="zh-CN"/>
        </w:rPr>
        <w:t>8</w:t>
      </w:r>
      <w:r w:rsidRPr="00F47BA9">
        <w:rPr>
          <w:rFonts w:ascii="Times New Roman" w:eastAsia="仿宋" w:hAnsi="Times New Roman" w:hint="eastAsia"/>
          <w:sz w:val="24"/>
          <w:lang w:eastAsia="zh-CN"/>
        </w:rPr>
        <w:t>月</w:t>
      </w:r>
      <w:r w:rsidRPr="00F47BA9">
        <w:rPr>
          <w:rFonts w:ascii="Times New Roman" w:eastAsia="仿宋" w:hAnsi="Times New Roman" w:hint="eastAsia"/>
          <w:sz w:val="24"/>
          <w:lang w:eastAsia="zh-CN"/>
        </w:rPr>
        <w:t>29</w:t>
      </w:r>
      <w:r w:rsidRPr="00F47BA9">
        <w:rPr>
          <w:rFonts w:ascii="Times New Roman" w:eastAsia="仿宋" w:hAnsi="Times New Roman" w:hint="eastAsia"/>
          <w:sz w:val="24"/>
          <w:lang w:eastAsia="zh-CN"/>
        </w:rPr>
        <w:t>日</w:t>
      </w:r>
    </w:p>
    <w:p w14:paraId="24B2EDA4"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批准设立机关及批准设立文号：中国证券监督管理委员会证监许可［</w:t>
      </w:r>
      <w:r w:rsidRPr="00F47BA9">
        <w:rPr>
          <w:rFonts w:ascii="Times New Roman" w:eastAsia="仿宋" w:hAnsi="Times New Roman" w:hint="eastAsia"/>
          <w:sz w:val="24"/>
          <w:lang w:eastAsia="zh-CN"/>
        </w:rPr>
        <w:t>2013</w:t>
      </w: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1115</w:t>
      </w:r>
      <w:r w:rsidRPr="00F47BA9">
        <w:rPr>
          <w:rFonts w:ascii="Times New Roman" w:eastAsia="仿宋" w:hAnsi="Times New Roman" w:hint="eastAsia"/>
          <w:sz w:val="24"/>
          <w:lang w:eastAsia="zh-CN"/>
        </w:rPr>
        <w:t>号</w:t>
      </w:r>
    </w:p>
    <w:p w14:paraId="7F537971"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注册资本：人民币</w:t>
      </w:r>
      <w:r w:rsidRPr="00F47BA9">
        <w:rPr>
          <w:rFonts w:ascii="Times New Roman" w:eastAsia="仿宋" w:hAnsi="Times New Roman" w:hint="eastAsia"/>
          <w:sz w:val="24"/>
          <w:lang w:eastAsia="zh-CN"/>
        </w:rPr>
        <w:t>17</w:t>
      </w:r>
      <w:r w:rsidRPr="00F47BA9">
        <w:rPr>
          <w:rFonts w:ascii="Times New Roman" w:eastAsia="仿宋" w:hAnsi="Times New Roman" w:hint="eastAsia"/>
          <w:sz w:val="24"/>
          <w:lang w:eastAsia="zh-CN"/>
        </w:rPr>
        <w:t>亿元</w:t>
      </w:r>
    </w:p>
    <w:p w14:paraId="4066E2F1"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组织形式：有限责任公司</w:t>
      </w:r>
    </w:p>
    <w:p w14:paraId="461D1596"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存续期间：持续经营</w:t>
      </w:r>
      <w:bookmarkStart w:id="12" w:name="_Toc22454434"/>
      <w:bookmarkStart w:id="13" w:name="_Toc77662993"/>
    </w:p>
    <w:p w14:paraId="64D1F3C1"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（二）基金托管人</w:t>
      </w:r>
      <w:bookmarkEnd w:id="12"/>
      <w:bookmarkEnd w:id="13"/>
    </w:p>
    <w:p w14:paraId="65813244"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名称：徽商银行股份有限公司</w:t>
      </w:r>
    </w:p>
    <w:p w14:paraId="28723DE9"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住所：安徽省合肥市云</w:t>
      </w:r>
      <w:proofErr w:type="gramStart"/>
      <w:r w:rsidRPr="00F47BA9">
        <w:rPr>
          <w:rFonts w:ascii="Times New Roman" w:eastAsia="仿宋" w:hAnsi="Times New Roman" w:hint="eastAsia"/>
          <w:sz w:val="24"/>
          <w:lang w:eastAsia="zh-CN"/>
        </w:rPr>
        <w:t>谷路</w:t>
      </w:r>
      <w:r w:rsidRPr="00F47BA9">
        <w:rPr>
          <w:rFonts w:ascii="Times New Roman" w:eastAsia="仿宋" w:hAnsi="Times New Roman" w:hint="eastAsia"/>
          <w:sz w:val="24"/>
          <w:lang w:eastAsia="zh-CN"/>
        </w:rPr>
        <w:t>1699</w:t>
      </w:r>
      <w:r w:rsidRPr="00F47BA9">
        <w:rPr>
          <w:rFonts w:ascii="Times New Roman" w:eastAsia="仿宋" w:hAnsi="Times New Roman" w:hint="eastAsia"/>
          <w:sz w:val="24"/>
          <w:lang w:eastAsia="zh-CN"/>
        </w:rPr>
        <w:t>号徽银</w:t>
      </w:r>
      <w:proofErr w:type="gramEnd"/>
      <w:r w:rsidRPr="00F47BA9">
        <w:rPr>
          <w:rFonts w:ascii="Times New Roman" w:eastAsia="仿宋" w:hAnsi="Times New Roman" w:hint="eastAsia"/>
          <w:sz w:val="24"/>
          <w:lang w:eastAsia="zh-CN"/>
        </w:rPr>
        <w:t>大厦</w:t>
      </w:r>
    </w:p>
    <w:p w14:paraId="41BDDA01"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sz w:val="24"/>
          <w:lang w:eastAsia="zh-CN"/>
        </w:rPr>
        <w:t>授权</w:t>
      </w:r>
      <w:r w:rsidRPr="00F47BA9">
        <w:rPr>
          <w:rFonts w:ascii="Times New Roman" w:eastAsia="仿宋" w:hAnsi="Times New Roman" w:hint="eastAsia"/>
          <w:sz w:val="24"/>
          <w:lang w:eastAsia="zh-CN"/>
        </w:rPr>
        <w:t>代表：黄晓艳</w:t>
      </w:r>
    </w:p>
    <w:p w14:paraId="2B61215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成立时间：</w:t>
      </w:r>
      <w:r w:rsidRPr="00F47BA9">
        <w:rPr>
          <w:rFonts w:ascii="Times New Roman" w:eastAsia="仿宋" w:hAnsi="Times New Roman" w:hint="eastAsia"/>
          <w:sz w:val="24"/>
          <w:lang w:eastAsia="zh-CN"/>
        </w:rPr>
        <w:t>1997</w:t>
      </w:r>
      <w:r w:rsidRPr="00F47BA9">
        <w:rPr>
          <w:rFonts w:ascii="Times New Roman" w:eastAsia="仿宋" w:hAnsi="Times New Roman" w:hint="eastAsia"/>
          <w:sz w:val="24"/>
          <w:lang w:eastAsia="zh-CN"/>
        </w:rPr>
        <w:t>年</w:t>
      </w: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月</w:t>
      </w: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日</w:t>
      </w:r>
    </w:p>
    <w:p w14:paraId="484903A9"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组织形式：其他股份有限公司（上市）</w:t>
      </w:r>
    </w:p>
    <w:p w14:paraId="341E4A4E"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注册资本：</w:t>
      </w:r>
      <w:r w:rsidRPr="00F47BA9">
        <w:rPr>
          <w:rFonts w:ascii="Times New Roman" w:eastAsia="仿宋" w:hAnsi="Times New Roman" w:hint="eastAsia"/>
          <w:sz w:val="24"/>
          <w:lang w:eastAsia="zh-CN"/>
        </w:rPr>
        <w:t>138.89801211</w:t>
      </w:r>
      <w:r w:rsidRPr="00F47BA9">
        <w:rPr>
          <w:rFonts w:ascii="Times New Roman" w:eastAsia="仿宋" w:hAnsi="Times New Roman" w:hint="eastAsia"/>
          <w:sz w:val="24"/>
          <w:lang w:eastAsia="zh-CN"/>
        </w:rPr>
        <w:t>亿元人民币</w:t>
      </w:r>
    </w:p>
    <w:p w14:paraId="091558FF"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批准设立机关和批准设立文号：中国人民银行，银复</w:t>
      </w:r>
      <w:r w:rsidRPr="00F47BA9">
        <w:rPr>
          <w:rFonts w:ascii="Times New Roman" w:eastAsia="仿宋" w:hAnsi="Times New Roman" w:hint="eastAsia"/>
          <w:sz w:val="24"/>
          <w:lang w:eastAsia="zh-CN"/>
        </w:rPr>
        <w:t>[1997]70</w:t>
      </w:r>
      <w:r w:rsidRPr="00F47BA9">
        <w:rPr>
          <w:rFonts w:ascii="Times New Roman" w:eastAsia="仿宋" w:hAnsi="Times New Roman" w:hint="eastAsia"/>
          <w:sz w:val="24"/>
          <w:lang w:eastAsia="zh-CN"/>
        </w:rPr>
        <w:t>号</w:t>
      </w:r>
    </w:p>
    <w:p w14:paraId="1303ED21"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存续期间：持续经营</w:t>
      </w:r>
    </w:p>
    <w:p w14:paraId="18ACD133"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基金托管资格批准文号：证监许可</w:t>
      </w:r>
      <w:r w:rsidRPr="00F47BA9">
        <w:rPr>
          <w:rFonts w:ascii="Times New Roman" w:eastAsia="仿宋" w:hAnsi="Times New Roman" w:hint="eastAsia"/>
          <w:sz w:val="24"/>
          <w:lang w:eastAsia="zh-CN"/>
        </w:rPr>
        <w:t>[2014]63</w:t>
      </w:r>
      <w:r w:rsidRPr="00F47BA9">
        <w:rPr>
          <w:rFonts w:ascii="Times New Roman" w:eastAsia="仿宋" w:hAnsi="Times New Roman" w:hint="eastAsia"/>
          <w:sz w:val="24"/>
          <w:lang w:eastAsia="zh-CN"/>
        </w:rPr>
        <w:t>号</w:t>
      </w:r>
    </w:p>
    <w:p w14:paraId="38E24C92" w14:textId="77777777" w:rsidR="00FB20DE" w:rsidRPr="00F47BA9" w:rsidRDefault="00A6695E">
      <w:pPr>
        <w:pStyle w:val="1"/>
        <w:pageBreakBefore/>
        <w:jc w:val="center"/>
        <w:rPr>
          <w:rFonts w:ascii="Times New Roman" w:eastAsia="仿宋" w:hAnsi="Times New Roman"/>
          <w:color w:val="auto"/>
          <w:lang w:eastAsia="zh-CN"/>
        </w:rPr>
      </w:pPr>
      <w:bookmarkStart w:id="14" w:name="_Toc22454435"/>
      <w:bookmarkStart w:id="15" w:name="_Toc125892438"/>
      <w:bookmarkStart w:id="16" w:name="_Toc466788852"/>
      <w:bookmarkStart w:id="17" w:name="_Toc121842067"/>
      <w:bookmarkStart w:id="18" w:name="_Toc523829993"/>
      <w:r w:rsidRPr="00F47BA9">
        <w:rPr>
          <w:rFonts w:ascii="Times New Roman" w:eastAsia="仿宋" w:hAnsi="Times New Roman" w:hint="eastAsia"/>
          <w:color w:val="auto"/>
          <w:lang w:eastAsia="zh-CN"/>
        </w:rPr>
        <w:lastRenderedPageBreak/>
        <w:t>二、基金托管协议的依据、目的和原则</w:t>
      </w:r>
      <w:bookmarkEnd w:id="14"/>
      <w:bookmarkEnd w:id="15"/>
      <w:bookmarkEnd w:id="16"/>
      <w:bookmarkEnd w:id="17"/>
      <w:bookmarkEnd w:id="18"/>
    </w:p>
    <w:p w14:paraId="5CA05BF9"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协议依据《中华人民共和国证券投资基金法》（以下简称《基金法》）、《公开募集证券投资基金销售机构监督管理办法》（以下简称《销售办法》）、《公开募集证券投资基金运作管理办法》（以下简称《运作办法》）、《公开</w:t>
      </w:r>
      <w:r w:rsidRPr="00F47BA9">
        <w:rPr>
          <w:rFonts w:ascii="Times New Roman" w:eastAsia="仿宋" w:hAnsi="Times New Roman"/>
          <w:sz w:val="24"/>
          <w:lang w:eastAsia="zh-CN"/>
        </w:rPr>
        <w:t>募集</w:t>
      </w:r>
      <w:r w:rsidRPr="00F47BA9">
        <w:rPr>
          <w:rFonts w:ascii="Times New Roman" w:eastAsia="仿宋" w:hAnsi="Times New Roman" w:hint="eastAsia"/>
          <w:sz w:val="24"/>
          <w:lang w:eastAsia="zh-CN"/>
        </w:rPr>
        <w:t>证券投资基金信息披露管理办法》（以下简称《信息披露办法》）、《公开募集开放式证券投资基金流动性风险管理规定》（以下简称《流动性风险管理规定》）、《基金合同》及其他有关规定订立。</w:t>
      </w:r>
    </w:p>
    <w:p w14:paraId="0EF53E9F"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协议的目的是明确基金管理人和基金托管人之间在基金财产的保管、投资运作、净值计算、收益分配、信息披露及相互监督等有关事宜中的权利、义务及职责，以确保基金财产的安全，保护基金份额持有人的合法权益。</w:t>
      </w:r>
    </w:p>
    <w:p w14:paraId="71700119"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基金管理人和基金托管人遵循平等自愿、诚实信用、充分保护投资者合法利益的原则，经协商一致，签订本协议。</w:t>
      </w:r>
    </w:p>
    <w:p w14:paraId="70E703C8" w14:textId="77777777" w:rsidR="00FB20DE" w:rsidRPr="00F47BA9" w:rsidRDefault="00A6695E">
      <w:pPr>
        <w:pStyle w:val="1"/>
        <w:pageBreakBefore/>
        <w:jc w:val="center"/>
        <w:rPr>
          <w:rFonts w:ascii="Times New Roman" w:eastAsia="仿宋" w:hAnsi="Times New Roman"/>
          <w:b w:val="0"/>
          <w:bCs/>
          <w:color w:val="auto"/>
          <w:lang w:eastAsia="zh-CN"/>
        </w:rPr>
      </w:pPr>
      <w:bookmarkStart w:id="19" w:name="_Toc466788853"/>
      <w:bookmarkStart w:id="20" w:name="_Toc125892439"/>
      <w:bookmarkStart w:id="21" w:name="_Toc523829994"/>
      <w:bookmarkStart w:id="22" w:name="_Toc121842068"/>
      <w:bookmarkStart w:id="23" w:name="_Toc22454436"/>
      <w:r w:rsidRPr="00F47BA9">
        <w:rPr>
          <w:rFonts w:ascii="Times New Roman" w:eastAsia="仿宋" w:hAnsi="Times New Roman" w:hint="eastAsia"/>
          <w:color w:val="auto"/>
          <w:lang w:eastAsia="zh-CN"/>
        </w:rPr>
        <w:lastRenderedPageBreak/>
        <w:t>三、基金托管人对基金管理人</w:t>
      </w:r>
      <w:bookmarkEnd w:id="19"/>
      <w:r w:rsidRPr="00F47BA9">
        <w:rPr>
          <w:rFonts w:ascii="Times New Roman" w:eastAsia="仿宋" w:hAnsi="Times New Roman" w:hint="eastAsia"/>
          <w:color w:val="auto"/>
          <w:lang w:eastAsia="zh-CN"/>
        </w:rPr>
        <w:t>的业务监督和核查</w:t>
      </w:r>
      <w:bookmarkEnd w:id="20"/>
      <w:bookmarkEnd w:id="21"/>
      <w:bookmarkEnd w:id="22"/>
      <w:bookmarkEnd w:id="23"/>
    </w:p>
    <w:p w14:paraId="6988F87B" w14:textId="77777777" w:rsidR="00FB20DE" w:rsidRPr="00F47BA9" w:rsidRDefault="00A6695E">
      <w:pPr>
        <w:spacing w:after="0" w:line="360" w:lineRule="auto"/>
        <w:ind w:firstLine="480"/>
        <w:rPr>
          <w:rFonts w:ascii="Times New Roman" w:eastAsia="仿宋" w:hAnsi="Times New Roman"/>
          <w:sz w:val="24"/>
          <w:lang w:eastAsia="zh-CN"/>
        </w:rPr>
      </w:pPr>
      <w:bookmarkStart w:id="24" w:name="_Toc125892440"/>
      <w:r w:rsidRPr="00F47BA9">
        <w:rPr>
          <w:rFonts w:ascii="Times New Roman" w:eastAsia="仿宋" w:hAnsi="Times New Roman" w:hint="eastAsia"/>
          <w:sz w:val="24"/>
          <w:lang w:eastAsia="zh-CN"/>
        </w:rPr>
        <w:t>（一）基金托管人对基金管理人的投资行为行使监督权</w:t>
      </w:r>
    </w:p>
    <w:p w14:paraId="46B16505"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、基金托管人根据有关法律法规的规定及《基金合同》和本协议的约定，对基金的投资范围、投资对象进行监督。</w:t>
      </w:r>
    </w:p>
    <w:p w14:paraId="1E7D3E98" w14:textId="08259A9F" w:rsidR="00FB20DE" w:rsidRPr="00F47BA9" w:rsidRDefault="007F66A2">
      <w:pPr>
        <w:spacing w:after="0" w:line="360" w:lineRule="auto"/>
        <w:ind w:firstLine="480"/>
        <w:rPr>
          <w:rFonts w:ascii="Times New Roman" w:eastAsia="仿宋" w:hAnsi="Times New Roman"/>
          <w:sz w:val="24"/>
          <w:lang w:eastAsia="zh-CN"/>
        </w:rPr>
      </w:pPr>
      <w:bookmarkStart w:id="25" w:name="OLE_LINK10"/>
      <w:r w:rsidRPr="007F66A2">
        <w:rPr>
          <w:rFonts w:ascii="Times New Roman" w:eastAsia="仿宋" w:hAnsi="Times New Roman" w:hint="eastAsia"/>
          <w:sz w:val="24"/>
          <w:lang w:eastAsia="zh-CN"/>
        </w:rPr>
        <w:t>本基金的投资范围为具有良好流动性的金融工具，包括国内依法发行或上市的股票（包括主板、创业板以及其他经中国证监会核准或注册上市的股票）、存托凭证、港股通标的股票、债券（包括国债、金融债、央行票据、企业债、公司债、中期票据、地方政府债、次级债、政府支持债券、政府支持机构债券、可转换债券（</w:t>
      </w:r>
      <w:proofErr w:type="gramStart"/>
      <w:r w:rsidRPr="007F66A2">
        <w:rPr>
          <w:rFonts w:ascii="Times New Roman" w:eastAsia="仿宋" w:hAnsi="Times New Roman" w:hint="eastAsia"/>
          <w:sz w:val="24"/>
          <w:lang w:eastAsia="zh-CN"/>
        </w:rPr>
        <w:t>含可分离</w:t>
      </w:r>
      <w:proofErr w:type="gramEnd"/>
      <w:r w:rsidRPr="007F66A2">
        <w:rPr>
          <w:rFonts w:ascii="Times New Roman" w:eastAsia="仿宋" w:hAnsi="Times New Roman" w:hint="eastAsia"/>
          <w:sz w:val="24"/>
          <w:lang w:eastAsia="zh-CN"/>
        </w:rPr>
        <w:t>交易可转债）、可交换债券、短期融资</w:t>
      </w:r>
      <w:proofErr w:type="gramStart"/>
      <w:r w:rsidRPr="007F66A2">
        <w:rPr>
          <w:rFonts w:ascii="Times New Roman" w:eastAsia="仿宋" w:hAnsi="Times New Roman" w:hint="eastAsia"/>
          <w:sz w:val="24"/>
          <w:lang w:eastAsia="zh-CN"/>
        </w:rPr>
        <w:t>券</w:t>
      </w:r>
      <w:proofErr w:type="gramEnd"/>
      <w:r w:rsidRPr="007F66A2">
        <w:rPr>
          <w:rFonts w:ascii="Times New Roman" w:eastAsia="仿宋" w:hAnsi="Times New Roman" w:hint="eastAsia"/>
          <w:sz w:val="24"/>
          <w:lang w:eastAsia="zh-CN"/>
        </w:rPr>
        <w:t>、超短期融资</w:t>
      </w:r>
      <w:proofErr w:type="gramStart"/>
      <w:r w:rsidRPr="007F66A2">
        <w:rPr>
          <w:rFonts w:ascii="Times New Roman" w:eastAsia="仿宋" w:hAnsi="Times New Roman" w:hint="eastAsia"/>
          <w:sz w:val="24"/>
          <w:lang w:eastAsia="zh-CN"/>
        </w:rPr>
        <w:t>券</w:t>
      </w:r>
      <w:proofErr w:type="gramEnd"/>
      <w:r w:rsidRPr="007F66A2">
        <w:rPr>
          <w:rFonts w:ascii="Times New Roman" w:eastAsia="仿宋" w:hAnsi="Times New Roman" w:hint="eastAsia"/>
          <w:sz w:val="24"/>
          <w:lang w:eastAsia="zh-CN"/>
        </w:rPr>
        <w:t>等）、资产支持证券、债券回购、同业存单、银行存款（包括协议存款、定期存款及其他银行存款等）、货币市场工具、国债期货、信用衍生品、经中国证监会依法核准或注册的公开募集证券投资基金（以下简称“证券投资基金”或“基金”，仅包括全市场的股票型</w:t>
      </w:r>
      <w:r w:rsidRPr="007F66A2">
        <w:rPr>
          <w:rFonts w:ascii="Times New Roman" w:eastAsia="仿宋" w:hAnsi="Times New Roman" w:hint="eastAsia"/>
          <w:sz w:val="24"/>
          <w:lang w:eastAsia="zh-CN"/>
        </w:rPr>
        <w:t>ETF</w:t>
      </w:r>
      <w:r w:rsidRPr="007F66A2">
        <w:rPr>
          <w:rFonts w:ascii="Times New Roman" w:eastAsia="仿宋" w:hAnsi="Times New Roman" w:hint="eastAsia"/>
          <w:sz w:val="24"/>
          <w:lang w:eastAsia="zh-CN"/>
        </w:rPr>
        <w:t>、公开募集不动产投资信托基金（以下简称“公募</w:t>
      </w:r>
      <w:r w:rsidRPr="007F66A2">
        <w:rPr>
          <w:rFonts w:ascii="Times New Roman" w:eastAsia="仿宋" w:hAnsi="Times New Roman" w:hint="eastAsia"/>
          <w:sz w:val="24"/>
          <w:lang w:eastAsia="zh-CN"/>
        </w:rPr>
        <w:t>REITs</w:t>
      </w:r>
      <w:r w:rsidRPr="007F66A2">
        <w:rPr>
          <w:rFonts w:ascii="Times New Roman" w:eastAsia="仿宋" w:hAnsi="Times New Roman" w:hint="eastAsia"/>
          <w:sz w:val="24"/>
          <w:lang w:eastAsia="zh-CN"/>
        </w:rPr>
        <w:t>”）及基金管理人旗下的股票型基金、计入权益类资产的混合型基金，不包括</w:t>
      </w:r>
      <w:r w:rsidRPr="007F66A2">
        <w:rPr>
          <w:rFonts w:ascii="Times New Roman" w:eastAsia="仿宋" w:hAnsi="Times New Roman" w:hint="eastAsia"/>
          <w:sz w:val="24"/>
          <w:lang w:eastAsia="zh-CN"/>
        </w:rPr>
        <w:t>QDII</w:t>
      </w:r>
      <w:r w:rsidRPr="007F66A2">
        <w:rPr>
          <w:rFonts w:ascii="Times New Roman" w:eastAsia="仿宋" w:hAnsi="Times New Roman" w:hint="eastAsia"/>
          <w:sz w:val="24"/>
          <w:lang w:eastAsia="zh-CN"/>
        </w:rPr>
        <w:t>基金、香港互认基金、基金中基金、其他可投资公</w:t>
      </w:r>
      <w:proofErr w:type="gramStart"/>
      <w:r w:rsidRPr="007F66A2">
        <w:rPr>
          <w:rFonts w:ascii="Times New Roman" w:eastAsia="仿宋" w:hAnsi="Times New Roman" w:hint="eastAsia"/>
          <w:sz w:val="24"/>
          <w:lang w:eastAsia="zh-CN"/>
        </w:rPr>
        <w:t>募基金的非基金</w:t>
      </w:r>
      <w:proofErr w:type="gramEnd"/>
      <w:r w:rsidRPr="007F66A2">
        <w:rPr>
          <w:rFonts w:ascii="Times New Roman" w:eastAsia="仿宋" w:hAnsi="Times New Roman" w:hint="eastAsia"/>
          <w:sz w:val="24"/>
          <w:lang w:eastAsia="zh-CN"/>
        </w:rPr>
        <w:t>中基金、货币市场基金、本</w:t>
      </w:r>
      <w:proofErr w:type="gramStart"/>
      <w:r w:rsidRPr="007F66A2">
        <w:rPr>
          <w:rFonts w:ascii="Times New Roman" w:eastAsia="仿宋" w:hAnsi="Times New Roman" w:hint="eastAsia"/>
          <w:sz w:val="24"/>
          <w:lang w:eastAsia="zh-CN"/>
        </w:rPr>
        <w:t>基金基金</w:t>
      </w:r>
      <w:proofErr w:type="gramEnd"/>
      <w:r w:rsidRPr="007F66A2">
        <w:rPr>
          <w:rFonts w:ascii="Times New Roman" w:eastAsia="仿宋" w:hAnsi="Times New Roman" w:hint="eastAsia"/>
          <w:sz w:val="24"/>
          <w:lang w:eastAsia="zh-CN"/>
        </w:rPr>
        <w:t>经理管理的其他基金）以及法律法规或中国证监会允许基金投资的其他金融工具（但须符合中国证监会相关规定）。</w:t>
      </w:r>
    </w:p>
    <w:p w14:paraId="45D71586"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如法律法规或监管机构以后允许基金投资其他品种，基金管理人在履行适当程序后，可以将其纳入投资范围。</w:t>
      </w:r>
    </w:p>
    <w:p w14:paraId="67619A62" w14:textId="66384CF3"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基金的投资组合比例为：本基金投资于债券资产的比例不低于基金资产的</w:t>
      </w:r>
      <w:r w:rsidRPr="00F47BA9">
        <w:rPr>
          <w:rFonts w:ascii="Times New Roman" w:eastAsia="仿宋" w:hAnsi="Times New Roman" w:hint="eastAsia"/>
          <w:sz w:val="24"/>
          <w:lang w:eastAsia="zh-CN"/>
        </w:rPr>
        <w:t>80%</w:t>
      </w:r>
      <w:r w:rsidRPr="00F47BA9">
        <w:rPr>
          <w:rFonts w:ascii="Times New Roman" w:eastAsia="仿宋" w:hAnsi="Times New Roman" w:hint="eastAsia"/>
          <w:sz w:val="24"/>
          <w:lang w:eastAsia="zh-CN"/>
        </w:rPr>
        <w:t>；投资于权益类资产、可转换债券（</w:t>
      </w:r>
      <w:proofErr w:type="gramStart"/>
      <w:r w:rsidRPr="00F47BA9">
        <w:rPr>
          <w:rFonts w:ascii="Times New Roman" w:eastAsia="仿宋" w:hAnsi="Times New Roman" w:hint="eastAsia"/>
          <w:sz w:val="24"/>
          <w:lang w:eastAsia="zh-CN"/>
        </w:rPr>
        <w:t>含可分离</w:t>
      </w:r>
      <w:proofErr w:type="gramEnd"/>
      <w:r w:rsidRPr="00F47BA9">
        <w:rPr>
          <w:rFonts w:ascii="Times New Roman" w:eastAsia="仿宋" w:hAnsi="Times New Roman" w:hint="eastAsia"/>
          <w:sz w:val="24"/>
          <w:lang w:eastAsia="zh-CN"/>
        </w:rPr>
        <w:t>交易可转债）、可交换债券的比例合计为基金资产的</w:t>
      </w:r>
      <w:r w:rsidRPr="00F47BA9">
        <w:rPr>
          <w:rFonts w:ascii="Times New Roman" w:eastAsia="仿宋" w:hAnsi="Times New Roman" w:hint="eastAsia"/>
          <w:sz w:val="24"/>
          <w:lang w:eastAsia="zh-CN"/>
        </w:rPr>
        <w:t>5%-20%</w:t>
      </w:r>
      <w:r w:rsidRPr="00F47BA9">
        <w:rPr>
          <w:rFonts w:ascii="Times New Roman" w:eastAsia="仿宋" w:hAnsi="Times New Roman" w:hint="eastAsia"/>
          <w:sz w:val="24"/>
          <w:lang w:eastAsia="zh-CN"/>
        </w:rPr>
        <w:t>（其中投资于境内股票资产（含</w:t>
      </w:r>
      <w:r w:rsidRPr="00F47BA9">
        <w:rPr>
          <w:rFonts w:ascii="Times New Roman" w:eastAsia="仿宋" w:hAnsi="Times New Roman" w:hint="eastAsia"/>
          <w:sz w:val="24"/>
          <w:lang w:eastAsia="zh-CN"/>
        </w:rPr>
        <w:t>A</w:t>
      </w:r>
      <w:r w:rsidRPr="00F47BA9">
        <w:rPr>
          <w:rFonts w:ascii="Times New Roman" w:eastAsia="仿宋" w:hAnsi="Times New Roman" w:hint="eastAsia"/>
          <w:sz w:val="24"/>
          <w:lang w:eastAsia="zh-CN"/>
        </w:rPr>
        <w:t>股股票型</w:t>
      </w:r>
      <w:r w:rsidRPr="00F47BA9">
        <w:rPr>
          <w:rFonts w:ascii="Times New Roman" w:eastAsia="仿宋" w:hAnsi="Times New Roman" w:hint="eastAsia"/>
          <w:sz w:val="24"/>
          <w:lang w:eastAsia="zh-CN"/>
        </w:rPr>
        <w:t>ETF</w:t>
      </w:r>
      <w:r w:rsidRPr="00F47BA9">
        <w:rPr>
          <w:rFonts w:ascii="Times New Roman" w:eastAsia="仿宋" w:hAnsi="Times New Roman" w:hint="eastAsia"/>
          <w:sz w:val="24"/>
          <w:lang w:eastAsia="zh-CN"/>
        </w:rPr>
        <w:t>）不低于基金资产的</w:t>
      </w:r>
      <w:r w:rsidRPr="00F47BA9">
        <w:rPr>
          <w:rFonts w:ascii="Times New Roman" w:eastAsia="仿宋" w:hAnsi="Times New Roman" w:hint="eastAsia"/>
          <w:sz w:val="24"/>
          <w:lang w:eastAsia="zh-CN"/>
        </w:rPr>
        <w:t>5%</w:t>
      </w:r>
      <w:r w:rsidRPr="00F47BA9">
        <w:rPr>
          <w:rFonts w:ascii="Times New Roman" w:eastAsia="仿宋" w:hAnsi="Times New Roman" w:hint="eastAsia"/>
          <w:sz w:val="24"/>
          <w:lang w:eastAsia="zh-CN"/>
        </w:rPr>
        <w:t>，投资于港股通标的股票的比例不超过股票资产的</w:t>
      </w:r>
      <w:r w:rsidRPr="00F47BA9">
        <w:rPr>
          <w:rFonts w:ascii="Times New Roman" w:eastAsia="仿宋" w:hAnsi="Times New Roman" w:hint="eastAsia"/>
          <w:sz w:val="24"/>
          <w:lang w:eastAsia="zh-CN"/>
        </w:rPr>
        <w:t>50%</w:t>
      </w:r>
      <w:r w:rsidRPr="00F47BA9">
        <w:rPr>
          <w:rFonts w:ascii="Times New Roman" w:eastAsia="仿宋" w:hAnsi="Times New Roman" w:hint="eastAsia"/>
          <w:sz w:val="24"/>
          <w:lang w:eastAsia="zh-CN"/>
        </w:rPr>
        <w:t>）；本基金投资的权益类资产包括股票、存托凭证、股票型基金以及至少满足以下一条标准的混合型基金：（</w:t>
      </w: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）基金合同约定股票资产及存托凭证投资比例不低于基金资产的</w:t>
      </w:r>
      <w:r w:rsidRPr="00F47BA9">
        <w:rPr>
          <w:rFonts w:ascii="Times New Roman" w:eastAsia="仿宋" w:hAnsi="Times New Roman" w:hint="eastAsia"/>
          <w:sz w:val="24"/>
          <w:lang w:eastAsia="zh-CN"/>
        </w:rPr>
        <w:t>60%</w:t>
      </w: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）根据基金披露的定期报告，最近四个季度股票资产及存托凭证占基金资产的比例均不低于</w:t>
      </w:r>
      <w:r w:rsidRPr="00F47BA9">
        <w:rPr>
          <w:rFonts w:ascii="Times New Roman" w:eastAsia="仿宋" w:hAnsi="Times New Roman" w:hint="eastAsia"/>
          <w:sz w:val="24"/>
          <w:lang w:eastAsia="zh-CN"/>
        </w:rPr>
        <w:t>60%</w:t>
      </w:r>
      <w:r w:rsidRPr="00F47BA9">
        <w:rPr>
          <w:rFonts w:ascii="Times New Roman" w:eastAsia="仿宋" w:hAnsi="Times New Roman" w:hint="eastAsia"/>
          <w:sz w:val="24"/>
          <w:lang w:eastAsia="zh-CN"/>
        </w:rPr>
        <w:t>。本基金投资于证券投资基金的比例不超过基金资产净值的</w:t>
      </w:r>
      <w:r w:rsidRPr="00F47BA9">
        <w:rPr>
          <w:rFonts w:ascii="Times New Roman" w:eastAsia="仿宋" w:hAnsi="Times New Roman" w:hint="eastAsia"/>
          <w:sz w:val="24"/>
          <w:lang w:eastAsia="zh-CN"/>
        </w:rPr>
        <w:t>10%</w:t>
      </w:r>
      <w:r w:rsidRPr="00F47BA9">
        <w:rPr>
          <w:rFonts w:ascii="Times New Roman" w:eastAsia="仿宋" w:hAnsi="Times New Roman" w:hint="eastAsia"/>
          <w:sz w:val="24"/>
          <w:lang w:eastAsia="zh-CN"/>
        </w:rPr>
        <w:t>。每个交易日日终在扣除国债期货合约需</w:t>
      </w:r>
      <w:r w:rsidRPr="00F47BA9">
        <w:rPr>
          <w:rFonts w:ascii="Times New Roman" w:eastAsia="仿宋" w:hAnsi="Times New Roman" w:hint="eastAsia"/>
          <w:sz w:val="24"/>
          <w:lang w:eastAsia="zh-CN"/>
        </w:rPr>
        <w:lastRenderedPageBreak/>
        <w:t>缴纳的交易保证金后，应当保持现金或者到期日在一年以内的政府债券不低于基金资产净值的</w:t>
      </w:r>
      <w:r w:rsidRPr="00F47BA9">
        <w:rPr>
          <w:rFonts w:ascii="Times New Roman" w:eastAsia="仿宋" w:hAnsi="Times New Roman" w:hint="eastAsia"/>
          <w:sz w:val="24"/>
          <w:lang w:eastAsia="zh-CN"/>
        </w:rPr>
        <w:t>5%</w:t>
      </w:r>
      <w:r w:rsidRPr="00F47BA9">
        <w:rPr>
          <w:rFonts w:ascii="Times New Roman" w:eastAsia="仿宋" w:hAnsi="Times New Roman" w:hint="eastAsia"/>
          <w:sz w:val="24"/>
          <w:lang w:eastAsia="zh-CN"/>
        </w:rPr>
        <w:t>，其中现金不包括结算备付金、存出保证金和应收申购款等。</w:t>
      </w:r>
    </w:p>
    <w:p w14:paraId="266C803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如法律法规或中国证监会变更投资品种的投资比例限制，基金管理人在履行适当程序后，可以调整上述投资品种的投资比例。</w:t>
      </w:r>
    </w:p>
    <w:p w14:paraId="2B806773"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sz w:val="24"/>
          <w:lang w:eastAsia="zh-CN"/>
        </w:rPr>
        <w:t>2</w:t>
      </w:r>
      <w:r w:rsidRPr="00F47BA9">
        <w:rPr>
          <w:rFonts w:ascii="Times New Roman" w:eastAsia="仿宋" w:hAnsi="Times New Roman"/>
          <w:sz w:val="24"/>
          <w:lang w:eastAsia="zh-CN"/>
        </w:rPr>
        <w:t>、</w:t>
      </w:r>
      <w:r w:rsidRPr="00F47BA9">
        <w:rPr>
          <w:rFonts w:ascii="Times New Roman" w:eastAsia="仿宋" w:hAnsi="Times New Roman" w:hint="eastAsia"/>
          <w:sz w:val="24"/>
          <w:lang w:eastAsia="zh-CN"/>
        </w:rPr>
        <w:t>基金托管人根据有关法律法规的规定及《基金合同》和本协议的约定，对基金投资比例进行监督。根据《基金合同》的约定，本基金投资组合比例应符合以下规定：</w:t>
      </w:r>
    </w:p>
    <w:p w14:paraId="780D5E99" w14:textId="18ECF4E0"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）基金的投资组合比例为：本基金投资于债券资产的比例不低于基金资产的</w:t>
      </w:r>
      <w:r w:rsidRPr="00F47BA9">
        <w:rPr>
          <w:rFonts w:ascii="Times New Roman" w:eastAsia="仿宋" w:hAnsi="Times New Roman" w:hint="eastAsia"/>
          <w:sz w:val="24"/>
          <w:lang w:eastAsia="zh-CN"/>
        </w:rPr>
        <w:t>80%</w:t>
      </w:r>
      <w:r w:rsidRPr="00F47BA9">
        <w:rPr>
          <w:rFonts w:ascii="Times New Roman" w:eastAsia="仿宋" w:hAnsi="Times New Roman" w:hint="eastAsia"/>
          <w:sz w:val="24"/>
          <w:lang w:eastAsia="zh-CN"/>
        </w:rPr>
        <w:t>；投资于权益类资产、可转换债券（</w:t>
      </w:r>
      <w:proofErr w:type="gramStart"/>
      <w:r w:rsidRPr="00F47BA9">
        <w:rPr>
          <w:rFonts w:ascii="Times New Roman" w:eastAsia="仿宋" w:hAnsi="Times New Roman" w:hint="eastAsia"/>
          <w:sz w:val="24"/>
          <w:lang w:eastAsia="zh-CN"/>
        </w:rPr>
        <w:t>含可分离</w:t>
      </w:r>
      <w:proofErr w:type="gramEnd"/>
      <w:r w:rsidRPr="00F47BA9">
        <w:rPr>
          <w:rFonts w:ascii="Times New Roman" w:eastAsia="仿宋" w:hAnsi="Times New Roman" w:hint="eastAsia"/>
          <w:sz w:val="24"/>
          <w:lang w:eastAsia="zh-CN"/>
        </w:rPr>
        <w:t>交易可转债）、可交换债券的比例合计为基金资产的</w:t>
      </w:r>
      <w:r w:rsidRPr="00F47BA9">
        <w:rPr>
          <w:rFonts w:ascii="Times New Roman" w:eastAsia="仿宋" w:hAnsi="Times New Roman" w:hint="eastAsia"/>
          <w:sz w:val="24"/>
          <w:lang w:eastAsia="zh-CN"/>
        </w:rPr>
        <w:t>5%-20%</w:t>
      </w:r>
      <w:r w:rsidRPr="00F47BA9">
        <w:rPr>
          <w:rFonts w:ascii="Times New Roman" w:eastAsia="仿宋" w:hAnsi="Times New Roman" w:hint="eastAsia"/>
          <w:sz w:val="24"/>
          <w:lang w:eastAsia="zh-CN"/>
        </w:rPr>
        <w:t>（其中投资于境内股票资产（含</w:t>
      </w:r>
      <w:r w:rsidRPr="00F47BA9">
        <w:rPr>
          <w:rFonts w:ascii="Times New Roman" w:eastAsia="仿宋" w:hAnsi="Times New Roman" w:hint="eastAsia"/>
          <w:sz w:val="24"/>
          <w:lang w:eastAsia="zh-CN"/>
        </w:rPr>
        <w:t>A</w:t>
      </w:r>
      <w:r w:rsidRPr="00F47BA9">
        <w:rPr>
          <w:rFonts w:ascii="Times New Roman" w:eastAsia="仿宋" w:hAnsi="Times New Roman" w:hint="eastAsia"/>
          <w:sz w:val="24"/>
          <w:lang w:eastAsia="zh-CN"/>
        </w:rPr>
        <w:t>股股票型</w:t>
      </w:r>
      <w:r w:rsidRPr="00F47BA9">
        <w:rPr>
          <w:rFonts w:ascii="Times New Roman" w:eastAsia="仿宋" w:hAnsi="Times New Roman" w:hint="eastAsia"/>
          <w:sz w:val="24"/>
          <w:lang w:eastAsia="zh-CN"/>
        </w:rPr>
        <w:t>ETF</w:t>
      </w:r>
      <w:r w:rsidRPr="00F47BA9">
        <w:rPr>
          <w:rFonts w:ascii="Times New Roman" w:eastAsia="仿宋" w:hAnsi="Times New Roman" w:hint="eastAsia"/>
          <w:sz w:val="24"/>
          <w:lang w:eastAsia="zh-CN"/>
        </w:rPr>
        <w:t>）不低于基金资产的</w:t>
      </w:r>
      <w:r w:rsidRPr="00F47BA9">
        <w:rPr>
          <w:rFonts w:ascii="Times New Roman" w:eastAsia="仿宋" w:hAnsi="Times New Roman" w:hint="eastAsia"/>
          <w:sz w:val="24"/>
          <w:lang w:eastAsia="zh-CN"/>
        </w:rPr>
        <w:t>5%</w:t>
      </w:r>
      <w:r w:rsidRPr="00F47BA9">
        <w:rPr>
          <w:rFonts w:ascii="Times New Roman" w:eastAsia="仿宋" w:hAnsi="Times New Roman" w:hint="eastAsia"/>
          <w:sz w:val="24"/>
          <w:lang w:eastAsia="zh-CN"/>
        </w:rPr>
        <w:t>，投资于港股通标的股票的比例不超过股票资产的</w:t>
      </w:r>
      <w:r w:rsidRPr="00F47BA9">
        <w:rPr>
          <w:rFonts w:ascii="Times New Roman" w:eastAsia="仿宋" w:hAnsi="Times New Roman" w:hint="eastAsia"/>
          <w:sz w:val="24"/>
          <w:lang w:eastAsia="zh-CN"/>
        </w:rPr>
        <w:t>50%</w:t>
      </w:r>
      <w:r w:rsidRPr="00F47BA9">
        <w:rPr>
          <w:rFonts w:ascii="Times New Roman" w:eastAsia="仿宋" w:hAnsi="Times New Roman" w:hint="eastAsia"/>
          <w:sz w:val="24"/>
          <w:lang w:eastAsia="zh-CN"/>
        </w:rPr>
        <w:t>）；本基金投资的权益类资产包括股票、存托凭证、股票型基金以及至少满足以下一条标准的混合型基金：①基金合同约定股票资产及存托凭证投资比例不低于基金资产的</w:t>
      </w:r>
      <w:r w:rsidRPr="00F47BA9">
        <w:rPr>
          <w:rFonts w:ascii="Times New Roman" w:eastAsia="仿宋" w:hAnsi="Times New Roman" w:hint="eastAsia"/>
          <w:sz w:val="24"/>
          <w:lang w:eastAsia="zh-CN"/>
        </w:rPr>
        <w:t>60%</w:t>
      </w:r>
      <w:r w:rsidRPr="00F47BA9">
        <w:rPr>
          <w:rFonts w:ascii="Times New Roman" w:eastAsia="仿宋" w:hAnsi="Times New Roman" w:hint="eastAsia"/>
          <w:sz w:val="24"/>
          <w:lang w:eastAsia="zh-CN"/>
        </w:rPr>
        <w:t>；②根据基金披露的定期报告，最近四个季度股票资产及存托凭证占基金资产的比例均不低于</w:t>
      </w:r>
      <w:r w:rsidRPr="00F47BA9">
        <w:rPr>
          <w:rFonts w:ascii="Times New Roman" w:eastAsia="仿宋" w:hAnsi="Times New Roman" w:hint="eastAsia"/>
          <w:sz w:val="24"/>
          <w:lang w:eastAsia="zh-CN"/>
        </w:rPr>
        <w:t>60%</w:t>
      </w:r>
      <w:r w:rsidRPr="00F47BA9">
        <w:rPr>
          <w:rFonts w:ascii="Times New Roman" w:eastAsia="仿宋" w:hAnsi="Times New Roman" w:hint="eastAsia"/>
          <w:sz w:val="24"/>
          <w:lang w:eastAsia="zh-CN"/>
        </w:rPr>
        <w:t>。本基金投资于证券投资基金的比例不超过基金资产净值的</w:t>
      </w:r>
      <w:r w:rsidRPr="00F47BA9">
        <w:rPr>
          <w:rFonts w:ascii="Times New Roman" w:eastAsia="仿宋" w:hAnsi="Times New Roman" w:hint="eastAsia"/>
          <w:sz w:val="24"/>
          <w:lang w:eastAsia="zh-CN"/>
        </w:rPr>
        <w:t>10%</w:t>
      </w:r>
      <w:r w:rsidRPr="00F47BA9">
        <w:rPr>
          <w:rFonts w:ascii="Times New Roman" w:eastAsia="仿宋" w:hAnsi="Times New Roman" w:hint="eastAsia"/>
          <w:sz w:val="24"/>
          <w:lang w:eastAsia="zh-CN"/>
        </w:rPr>
        <w:t>；</w:t>
      </w:r>
    </w:p>
    <w:p w14:paraId="33F2F9C9"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）每个交易日日终在扣除国债期货合约需缴纳的交易保证金后，本基金应当保持现金或者到期日在一年以内的政府债券不低于基金资产净值的</w:t>
      </w:r>
      <w:r w:rsidRPr="00F47BA9">
        <w:rPr>
          <w:rFonts w:ascii="Times New Roman" w:eastAsia="仿宋" w:hAnsi="Times New Roman" w:hint="eastAsia"/>
          <w:sz w:val="24"/>
          <w:lang w:eastAsia="zh-CN"/>
        </w:rPr>
        <w:t>5%</w:t>
      </w:r>
      <w:r w:rsidRPr="00F47BA9">
        <w:rPr>
          <w:rFonts w:ascii="Times New Roman" w:eastAsia="仿宋" w:hAnsi="Times New Roman" w:hint="eastAsia"/>
          <w:sz w:val="24"/>
          <w:lang w:eastAsia="zh-CN"/>
        </w:rPr>
        <w:t>，其中现金不包括结算备付金、存出保证金和应收申购款等；</w:t>
      </w:r>
    </w:p>
    <w:p w14:paraId="0B656492"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）本基金持有一家公司发行的证券，其市值（若同时持有一家公司发行的</w:t>
      </w:r>
      <w:r w:rsidRPr="00F47BA9">
        <w:rPr>
          <w:rFonts w:ascii="Times New Roman" w:eastAsia="仿宋" w:hAnsi="Times New Roman" w:hint="eastAsia"/>
          <w:sz w:val="24"/>
          <w:lang w:eastAsia="zh-CN"/>
        </w:rPr>
        <w:t>A</w:t>
      </w:r>
      <w:r w:rsidRPr="00F47BA9">
        <w:rPr>
          <w:rFonts w:ascii="Times New Roman" w:eastAsia="仿宋" w:hAnsi="Times New Roman" w:hint="eastAsia"/>
          <w:sz w:val="24"/>
          <w:lang w:eastAsia="zh-CN"/>
        </w:rPr>
        <w:t>股和</w:t>
      </w:r>
      <w:r w:rsidRPr="00F47BA9">
        <w:rPr>
          <w:rFonts w:ascii="Times New Roman" w:eastAsia="仿宋" w:hAnsi="Times New Roman" w:hint="eastAsia"/>
          <w:sz w:val="24"/>
          <w:lang w:eastAsia="zh-CN"/>
        </w:rPr>
        <w:t>H</w:t>
      </w:r>
      <w:r w:rsidRPr="00F47BA9">
        <w:rPr>
          <w:rFonts w:ascii="Times New Roman" w:eastAsia="仿宋" w:hAnsi="Times New Roman" w:hint="eastAsia"/>
          <w:sz w:val="24"/>
          <w:lang w:eastAsia="zh-CN"/>
        </w:rPr>
        <w:t>股，则为</w:t>
      </w:r>
      <w:r w:rsidRPr="00F47BA9">
        <w:rPr>
          <w:rFonts w:ascii="Times New Roman" w:eastAsia="仿宋" w:hAnsi="Times New Roman" w:hint="eastAsia"/>
          <w:sz w:val="24"/>
          <w:lang w:eastAsia="zh-CN"/>
        </w:rPr>
        <w:t>A</w:t>
      </w:r>
      <w:r w:rsidRPr="00F47BA9">
        <w:rPr>
          <w:rFonts w:ascii="Times New Roman" w:eastAsia="仿宋" w:hAnsi="Times New Roman" w:hint="eastAsia"/>
          <w:sz w:val="24"/>
          <w:lang w:eastAsia="zh-CN"/>
        </w:rPr>
        <w:t>股与</w:t>
      </w:r>
      <w:r w:rsidRPr="00F47BA9">
        <w:rPr>
          <w:rFonts w:ascii="Times New Roman" w:eastAsia="仿宋" w:hAnsi="Times New Roman" w:hint="eastAsia"/>
          <w:sz w:val="24"/>
          <w:lang w:eastAsia="zh-CN"/>
        </w:rPr>
        <w:t>H</w:t>
      </w:r>
      <w:r w:rsidRPr="00F47BA9">
        <w:rPr>
          <w:rFonts w:ascii="Times New Roman" w:eastAsia="仿宋" w:hAnsi="Times New Roman" w:hint="eastAsia"/>
          <w:sz w:val="24"/>
          <w:lang w:eastAsia="zh-CN"/>
        </w:rPr>
        <w:t>股合计计算，但不包括本基金所投资的基金份额）不超过基金资产净值的</w:t>
      </w:r>
      <w:r w:rsidRPr="00F47BA9">
        <w:rPr>
          <w:rFonts w:ascii="Times New Roman" w:eastAsia="仿宋" w:hAnsi="Times New Roman" w:hint="eastAsia"/>
          <w:sz w:val="24"/>
          <w:lang w:eastAsia="zh-CN"/>
        </w:rPr>
        <w:t>10%</w:t>
      </w:r>
      <w:r w:rsidRPr="00F47BA9">
        <w:rPr>
          <w:rFonts w:ascii="Times New Roman" w:eastAsia="仿宋" w:hAnsi="Times New Roman" w:hint="eastAsia"/>
          <w:sz w:val="24"/>
          <w:lang w:eastAsia="zh-CN"/>
        </w:rPr>
        <w:t>；</w:t>
      </w:r>
    </w:p>
    <w:p w14:paraId="4BCFF2A1"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）本基金管理人管理的在托管人处托管的全部基金持有一家公司发行的证券，不超过该证券（若同时持有一家公司发行的</w:t>
      </w:r>
      <w:r w:rsidRPr="00F47BA9">
        <w:rPr>
          <w:rFonts w:ascii="Times New Roman" w:eastAsia="仿宋" w:hAnsi="Times New Roman" w:hint="eastAsia"/>
          <w:sz w:val="24"/>
          <w:lang w:eastAsia="zh-CN"/>
        </w:rPr>
        <w:t>A</w:t>
      </w:r>
      <w:r w:rsidRPr="00F47BA9">
        <w:rPr>
          <w:rFonts w:ascii="Times New Roman" w:eastAsia="仿宋" w:hAnsi="Times New Roman" w:hint="eastAsia"/>
          <w:sz w:val="24"/>
          <w:lang w:eastAsia="zh-CN"/>
        </w:rPr>
        <w:t>股和</w:t>
      </w:r>
      <w:r w:rsidRPr="00F47BA9">
        <w:rPr>
          <w:rFonts w:ascii="Times New Roman" w:eastAsia="仿宋" w:hAnsi="Times New Roman" w:hint="eastAsia"/>
          <w:sz w:val="24"/>
          <w:lang w:eastAsia="zh-CN"/>
        </w:rPr>
        <w:t>H</w:t>
      </w:r>
      <w:r w:rsidRPr="00F47BA9">
        <w:rPr>
          <w:rFonts w:ascii="Times New Roman" w:eastAsia="仿宋" w:hAnsi="Times New Roman" w:hint="eastAsia"/>
          <w:sz w:val="24"/>
          <w:lang w:eastAsia="zh-CN"/>
        </w:rPr>
        <w:t>股，则为</w:t>
      </w:r>
      <w:r w:rsidRPr="00F47BA9">
        <w:rPr>
          <w:rFonts w:ascii="Times New Roman" w:eastAsia="仿宋" w:hAnsi="Times New Roman" w:hint="eastAsia"/>
          <w:sz w:val="24"/>
          <w:lang w:eastAsia="zh-CN"/>
        </w:rPr>
        <w:t>A</w:t>
      </w:r>
      <w:r w:rsidRPr="00F47BA9">
        <w:rPr>
          <w:rFonts w:ascii="Times New Roman" w:eastAsia="仿宋" w:hAnsi="Times New Roman" w:hint="eastAsia"/>
          <w:sz w:val="24"/>
          <w:lang w:eastAsia="zh-CN"/>
        </w:rPr>
        <w:t>股与</w:t>
      </w:r>
      <w:r w:rsidRPr="00F47BA9">
        <w:rPr>
          <w:rFonts w:ascii="Times New Roman" w:eastAsia="仿宋" w:hAnsi="Times New Roman" w:hint="eastAsia"/>
          <w:sz w:val="24"/>
          <w:lang w:eastAsia="zh-CN"/>
        </w:rPr>
        <w:t>H</w:t>
      </w:r>
      <w:r w:rsidRPr="00F47BA9">
        <w:rPr>
          <w:rFonts w:ascii="Times New Roman" w:eastAsia="仿宋" w:hAnsi="Times New Roman" w:hint="eastAsia"/>
          <w:sz w:val="24"/>
          <w:lang w:eastAsia="zh-CN"/>
        </w:rPr>
        <w:t>股合计计算，但不包括本基金所投资的基金份额）的</w:t>
      </w:r>
      <w:r w:rsidRPr="00F47BA9">
        <w:rPr>
          <w:rFonts w:ascii="Times New Roman" w:eastAsia="仿宋" w:hAnsi="Times New Roman" w:hint="eastAsia"/>
          <w:sz w:val="24"/>
          <w:lang w:eastAsia="zh-CN"/>
        </w:rPr>
        <w:t>10%</w:t>
      </w:r>
      <w:r w:rsidRPr="00F47BA9">
        <w:rPr>
          <w:rFonts w:ascii="Times New Roman" w:eastAsia="仿宋" w:hAnsi="Times New Roman" w:hint="eastAsia"/>
          <w:sz w:val="24"/>
          <w:lang w:eastAsia="zh-CN"/>
        </w:rPr>
        <w:t>；</w:t>
      </w:r>
    </w:p>
    <w:p w14:paraId="039BF02C"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5</w:t>
      </w:r>
      <w:r w:rsidRPr="00F47BA9">
        <w:rPr>
          <w:rFonts w:ascii="Times New Roman" w:eastAsia="仿宋" w:hAnsi="Times New Roman" w:hint="eastAsia"/>
          <w:sz w:val="24"/>
          <w:lang w:eastAsia="zh-CN"/>
        </w:rPr>
        <w:t>）本基金投资于同一原始权益人的各类资产支持证券的比例，不得超过基金资产净值的</w:t>
      </w:r>
      <w:r w:rsidRPr="00F47BA9">
        <w:rPr>
          <w:rFonts w:ascii="Times New Roman" w:eastAsia="仿宋" w:hAnsi="Times New Roman" w:hint="eastAsia"/>
          <w:sz w:val="24"/>
          <w:lang w:eastAsia="zh-CN"/>
        </w:rPr>
        <w:t>10%</w:t>
      </w:r>
      <w:r w:rsidRPr="00F47BA9">
        <w:rPr>
          <w:rFonts w:ascii="Times New Roman" w:eastAsia="仿宋" w:hAnsi="Times New Roman" w:hint="eastAsia"/>
          <w:sz w:val="24"/>
          <w:lang w:eastAsia="zh-CN"/>
        </w:rPr>
        <w:t>；</w:t>
      </w:r>
    </w:p>
    <w:p w14:paraId="105967C2"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6</w:t>
      </w:r>
      <w:r w:rsidRPr="00F47BA9">
        <w:rPr>
          <w:rFonts w:ascii="Times New Roman" w:eastAsia="仿宋" w:hAnsi="Times New Roman" w:hint="eastAsia"/>
          <w:sz w:val="24"/>
          <w:lang w:eastAsia="zh-CN"/>
        </w:rPr>
        <w:t>）本基金持有的全部资产支持证券，其市值不得超过基金资产净值的</w:t>
      </w:r>
      <w:r w:rsidRPr="00F47BA9">
        <w:rPr>
          <w:rFonts w:ascii="Times New Roman" w:eastAsia="仿宋" w:hAnsi="Times New Roman" w:hint="eastAsia"/>
          <w:sz w:val="24"/>
          <w:lang w:eastAsia="zh-CN"/>
        </w:rPr>
        <w:t>20%</w:t>
      </w:r>
      <w:r w:rsidRPr="00F47BA9">
        <w:rPr>
          <w:rFonts w:ascii="Times New Roman" w:eastAsia="仿宋" w:hAnsi="Times New Roman" w:hint="eastAsia"/>
          <w:sz w:val="24"/>
          <w:lang w:eastAsia="zh-CN"/>
        </w:rPr>
        <w:t>；</w:t>
      </w:r>
    </w:p>
    <w:p w14:paraId="50EE318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7</w:t>
      </w:r>
      <w:r w:rsidRPr="00F47BA9">
        <w:rPr>
          <w:rFonts w:ascii="Times New Roman" w:eastAsia="仿宋" w:hAnsi="Times New Roman" w:hint="eastAsia"/>
          <w:sz w:val="24"/>
          <w:lang w:eastAsia="zh-CN"/>
        </w:rPr>
        <w:t>）本基金持有的同一（指同一信用级别）资产支持证券的比例，不得超</w:t>
      </w:r>
      <w:r w:rsidRPr="00F47BA9">
        <w:rPr>
          <w:rFonts w:ascii="Times New Roman" w:eastAsia="仿宋" w:hAnsi="Times New Roman" w:hint="eastAsia"/>
          <w:sz w:val="24"/>
          <w:lang w:eastAsia="zh-CN"/>
        </w:rPr>
        <w:lastRenderedPageBreak/>
        <w:t>过该资产支持证券规模的</w:t>
      </w:r>
      <w:r w:rsidRPr="00F47BA9">
        <w:rPr>
          <w:rFonts w:ascii="Times New Roman" w:eastAsia="仿宋" w:hAnsi="Times New Roman" w:hint="eastAsia"/>
          <w:sz w:val="24"/>
          <w:lang w:eastAsia="zh-CN"/>
        </w:rPr>
        <w:t>10%</w:t>
      </w:r>
      <w:r w:rsidRPr="00F47BA9">
        <w:rPr>
          <w:rFonts w:ascii="Times New Roman" w:eastAsia="仿宋" w:hAnsi="Times New Roman" w:hint="eastAsia"/>
          <w:sz w:val="24"/>
          <w:lang w:eastAsia="zh-CN"/>
        </w:rPr>
        <w:t>；</w:t>
      </w:r>
    </w:p>
    <w:p w14:paraId="5CEFD147"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8</w:t>
      </w:r>
      <w:r w:rsidRPr="00F47BA9">
        <w:rPr>
          <w:rFonts w:ascii="Times New Roman" w:eastAsia="仿宋" w:hAnsi="Times New Roman" w:hint="eastAsia"/>
          <w:sz w:val="24"/>
          <w:lang w:eastAsia="zh-CN"/>
        </w:rPr>
        <w:t>）本基金管理人管理的在托管人处托管的全部基金投资于同一原始权益人的各类资产支持证券，不得超过其各类资产支持证券合计规模的</w:t>
      </w:r>
      <w:r w:rsidRPr="00F47BA9">
        <w:rPr>
          <w:rFonts w:ascii="Times New Roman" w:eastAsia="仿宋" w:hAnsi="Times New Roman" w:hint="eastAsia"/>
          <w:sz w:val="24"/>
          <w:lang w:eastAsia="zh-CN"/>
        </w:rPr>
        <w:t>10%</w:t>
      </w:r>
      <w:r w:rsidRPr="00F47BA9">
        <w:rPr>
          <w:rFonts w:ascii="Times New Roman" w:eastAsia="仿宋" w:hAnsi="Times New Roman" w:hint="eastAsia"/>
          <w:sz w:val="24"/>
          <w:lang w:eastAsia="zh-CN"/>
        </w:rPr>
        <w:t>；</w:t>
      </w:r>
    </w:p>
    <w:p w14:paraId="773C6F93"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9</w:t>
      </w:r>
      <w:r w:rsidRPr="00F47BA9">
        <w:rPr>
          <w:rFonts w:ascii="Times New Roman" w:eastAsia="仿宋" w:hAnsi="Times New Roman" w:hint="eastAsia"/>
          <w:sz w:val="24"/>
          <w:lang w:eastAsia="zh-CN"/>
        </w:rPr>
        <w:t>）基金财产参与股票发行申购，本基金所申报的金额不超过本基金的总资产，本基金所申报的股票数量不超过拟发行股票公司本次发行股票的总量；</w:t>
      </w:r>
    </w:p>
    <w:p w14:paraId="649151FC"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10</w:t>
      </w:r>
      <w:r w:rsidRPr="00F47BA9">
        <w:rPr>
          <w:rFonts w:ascii="Times New Roman" w:eastAsia="仿宋" w:hAnsi="Times New Roman" w:hint="eastAsia"/>
          <w:sz w:val="24"/>
          <w:lang w:eastAsia="zh-CN"/>
        </w:rPr>
        <w:t>）本基金管理人管理的在托管人处托管的全部开放式基金（包括开放式基金以及处于开放期的定期开放基金）持有一家上市公司发行的可流通股票，不得超过该上市公司可流通股票的</w:t>
      </w:r>
      <w:r w:rsidRPr="00F47BA9">
        <w:rPr>
          <w:rFonts w:ascii="Times New Roman" w:eastAsia="仿宋" w:hAnsi="Times New Roman" w:hint="eastAsia"/>
          <w:sz w:val="24"/>
          <w:lang w:eastAsia="zh-CN"/>
        </w:rPr>
        <w:t>15%</w:t>
      </w:r>
      <w:r w:rsidRPr="00F47BA9">
        <w:rPr>
          <w:rFonts w:ascii="Times New Roman" w:eastAsia="仿宋" w:hAnsi="Times New Roman" w:hint="eastAsia"/>
          <w:sz w:val="24"/>
          <w:lang w:eastAsia="zh-CN"/>
        </w:rPr>
        <w:t>；本基金管理人管理的在托管人处托管的全部投资组合持有一家上市公司发行的可流通股票，不得超过该上市公司可流通股票的</w:t>
      </w:r>
      <w:r w:rsidRPr="00F47BA9">
        <w:rPr>
          <w:rFonts w:ascii="Times New Roman" w:eastAsia="仿宋" w:hAnsi="Times New Roman" w:hint="eastAsia"/>
          <w:sz w:val="24"/>
          <w:lang w:eastAsia="zh-CN"/>
        </w:rPr>
        <w:t>30%</w:t>
      </w:r>
      <w:r w:rsidRPr="00F47BA9">
        <w:rPr>
          <w:rFonts w:ascii="Times New Roman" w:eastAsia="仿宋" w:hAnsi="Times New Roman" w:hint="eastAsia"/>
          <w:sz w:val="24"/>
          <w:lang w:eastAsia="zh-CN"/>
        </w:rPr>
        <w:t>；</w:t>
      </w:r>
    </w:p>
    <w:p w14:paraId="36032CDB"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11</w:t>
      </w:r>
      <w:r w:rsidRPr="00F47BA9">
        <w:rPr>
          <w:rFonts w:ascii="Times New Roman" w:eastAsia="仿宋" w:hAnsi="Times New Roman" w:hint="eastAsia"/>
          <w:sz w:val="24"/>
          <w:lang w:eastAsia="zh-CN"/>
        </w:rPr>
        <w:t>）本基金主动投资于流动性受限资产（含封闭运作基金、定期开放基金等）的市值合计不得超过基金资产净值的</w:t>
      </w:r>
      <w:r w:rsidRPr="00F47BA9">
        <w:rPr>
          <w:rFonts w:ascii="Times New Roman" w:eastAsia="仿宋" w:hAnsi="Times New Roman" w:hint="eastAsia"/>
          <w:sz w:val="24"/>
          <w:lang w:eastAsia="zh-CN"/>
        </w:rPr>
        <w:t>15%</w:t>
      </w:r>
      <w:r w:rsidRPr="00F47BA9">
        <w:rPr>
          <w:rFonts w:ascii="Times New Roman" w:eastAsia="仿宋" w:hAnsi="Times New Roman" w:hint="eastAsia"/>
          <w:sz w:val="24"/>
          <w:lang w:eastAsia="zh-CN"/>
        </w:rPr>
        <w:t>；因证券市场波动、上市公司股票停牌、基金规模变动等基金管理人之外的因素致使基金不符合该比例限制的，基金管理人不得主动新增流动性受限资产的投资；</w:t>
      </w:r>
    </w:p>
    <w:p w14:paraId="32DC8E26"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12</w:t>
      </w:r>
      <w:r w:rsidRPr="00F47BA9">
        <w:rPr>
          <w:rFonts w:ascii="Times New Roman" w:eastAsia="仿宋" w:hAnsi="Times New Roman" w:hint="eastAsia"/>
          <w:sz w:val="24"/>
          <w:lang w:eastAsia="zh-CN"/>
        </w:rPr>
        <w:t>）本基金与私募类</w:t>
      </w:r>
      <w:proofErr w:type="gramStart"/>
      <w:r w:rsidRPr="00F47BA9">
        <w:rPr>
          <w:rFonts w:ascii="Times New Roman" w:eastAsia="仿宋" w:hAnsi="Times New Roman" w:hint="eastAsia"/>
          <w:sz w:val="24"/>
          <w:lang w:eastAsia="zh-CN"/>
        </w:rPr>
        <w:t>证券资管产品</w:t>
      </w:r>
      <w:proofErr w:type="gramEnd"/>
      <w:r w:rsidRPr="00F47BA9">
        <w:rPr>
          <w:rFonts w:ascii="Times New Roman" w:eastAsia="仿宋" w:hAnsi="Times New Roman" w:hint="eastAsia"/>
          <w:sz w:val="24"/>
          <w:lang w:eastAsia="zh-CN"/>
        </w:rPr>
        <w:t>及中国证监会认定的其他主体为交易对手开展逆回购交易的，可接受质押品的资质要求应当与基金合同约定的投资范围保持一致；</w:t>
      </w:r>
    </w:p>
    <w:p w14:paraId="5246114F"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13</w:t>
      </w:r>
      <w:r w:rsidRPr="00F47BA9">
        <w:rPr>
          <w:rFonts w:ascii="Times New Roman" w:eastAsia="仿宋" w:hAnsi="Times New Roman" w:hint="eastAsia"/>
          <w:sz w:val="24"/>
          <w:lang w:eastAsia="zh-CN"/>
        </w:rPr>
        <w:t>）本基金资产总值不超过基金资产净值的</w:t>
      </w:r>
      <w:r w:rsidRPr="00F47BA9">
        <w:rPr>
          <w:rFonts w:ascii="Times New Roman" w:eastAsia="仿宋" w:hAnsi="Times New Roman" w:hint="eastAsia"/>
          <w:sz w:val="24"/>
          <w:lang w:eastAsia="zh-CN"/>
        </w:rPr>
        <w:t>140%</w:t>
      </w:r>
      <w:r w:rsidRPr="00F47BA9">
        <w:rPr>
          <w:rFonts w:ascii="Times New Roman" w:eastAsia="仿宋" w:hAnsi="Times New Roman" w:hint="eastAsia"/>
          <w:sz w:val="24"/>
          <w:lang w:eastAsia="zh-CN"/>
        </w:rPr>
        <w:t>；</w:t>
      </w:r>
    </w:p>
    <w:p w14:paraId="6512E4CE"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14</w:t>
      </w:r>
      <w:r w:rsidRPr="00F47BA9">
        <w:rPr>
          <w:rFonts w:ascii="Times New Roman" w:eastAsia="仿宋" w:hAnsi="Times New Roman" w:hint="eastAsia"/>
          <w:sz w:val="24"/>
          <w:lang w:eastAsia="zh-CN"/>
        </w:rPr>
        <w:t>）本基金投资国债期货的，在任何交易日日终，持有的买入国债期货合约价值，不得超过基金资产净值的</w:t>
      </w:r>
      <w:r w:rsidRPr="00F47BA9">
        <w:rPr>
          <w:rFonts w:ascii="Times New Roman" w:eastAsia="仿宋" w:hAnsi="Times New Roman" w:hint="eastAsia"/>
          <w:sz w:val="24"/>
          <w:lang w:eastAsia="zh-CN"/>
        </w:rPr>
        <w:t>15%</w:t>
      </w:r>
      <w:r w:rsidRPr="00F47BA9">
        <w:rPr>
          <w:rFonts w:ascii="Times New Roman" w:eastAsia="仿宋" w:hAnsi="Times New Roman" w:hint="eastAsia"/>
          <w:sz w:val="24"/>
          <w:lang w:eastAsia="zh-CN"/>
        </w:rPr>
        <w:t>；本基金在任何交易日日终，持有的卖出国债期货合约价值不得超过基金持有的债券总市值的</w:t>
      </w:r>
      <w:r w:rsidRPr="00F47BA9">
        <w:rPr>
          <w:rFonts w:ascii="Times New Roman" w:eastAsia="仿宋" w:hAnsi="Times New Roman" w:hint="eastAsia"/>
          <w:sz w:val="24"/>
          <w:lang w:eastAsia="zh-CN"/>
        </w:rPr>
        <w:t>30%</w:t>
      </w:r>
      <w:r w:rsidRPr="00F47BA9">
        <w:rPr>
          <w:rFonts w:ascii="Times New Roman" w:eastAsia="仿宋" w:hAnsi="Times New Roman" w:hint="eastAsia"/>
          <w:sz w:val="24"/>
          <w:lang w:eastAsia="zh-CN"/>
        </w:rPr>
        <w:t>；本基金在任何交易日内交易（不包括平仓）的国债期货合约的成交金额不得超过上一交易日基金资产净值的</w:t>
      </w:r>
      <w:r w:rsidRPr="00F47BA9">
        <w:rPr>
          <w:rFonts w:ascii="Times New Roman" w:eastAsia="仿宋" w:hAnsi="Times New Roman" w:hint="eastAsia"/>
          <w:sz w:val="24"/>
          <w:lang w:eastAsia="zh-CN"/>
        </w:rPr>
        <w:t>30%</w:t>
      </w:r>
      <w:r w:rsidRPr="00F47BA9">
        <w:rPr>
          <w:rFonts w:ascii="Times New Roman" w:eastAsia="仿宋" w:hAnsi="Times New Roman" w:hint="eastAsia"/>
          <w:sz w:val="24"/>
          <w:lang w:eastAsia="zh-CN"/>
        </w:rPr>
        <w:t>；基金所持有的债券（不含到期日在一年以内的政府债券）市值和买入、卖出国债期货合约价值，合计（轧差计算）应当符合基金合同关于债券投资比例的有关约定；</w:t>
      </w:r>
    </w:p>
    <w:p w14:paraId="20E09C43"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15</w:t>
      </w:r>
      <w:r w:rsidRPr="00F47BA9">
        <w:rPr>
          <w:rFonts w:ascii="Times New Roman" w:eastAsia="仿宋" w:hAnsi="Times New Roman" w:hint="eastAsia"/>
          <w:sz w:val="24"/>
          <w:lang w:eastAsia="zh-CN"/>
        </w:rPr>
        <w:t>）本基金参与信用衍生品投资，需遵守下列投资比例限制：本基金</w:t>
      </w:r>
      <w:proofErr w:type="gramStart"/>
      <w:r w:rsidRPr="00F47BA9">
        <w:rPr>
          <w:rFonts w:ascii="Times New Roman" w:eastAsia="仿宋" w:hAnsi="Times New Roman" w:hint="eastAsia"/>
          <w:sz w:val="24"/>
          <w:lang w:eastAsia="zh-CN"/>
        </w:rPr>
        <w:t>不</w:t>
      </w:r>
      <w:proofErr w:type="gramEnd"/>
      <w:r w:rsidRPr="00F47BA9">
        <w:rPr>
          <w:rFonts w:ascii="Times New Roman" w:eastAsia="仿宋" w:hAnsi="Times New Roman" w:hint="eastAsia"/>
          <w:sz w:val="24"/>
          <w:lang w:eastAsia="zh-CN"/>
        </w:rPr>
        <w:t>持有具有信用保护卖方属性的信用衍生品，</w:t>
      </w:r>
      <w:proofErr w:type="gramStart"/>
      <w:r w:rsidRPr="00F47BA9">
        <w:rPr>
          <w:rFonts w:ascii="Times New Roman" w:eastAsia="仿宋" w:hAnsi="Times New Roman" w:hint="eastAsia"/>
          <w:sz w:val="24"/>
          <w:lang w:eastAsia="zh-CN"/>
        </w:rPr>
        <w:t>不</w:t>
      </w:r>
      <w:proofErr w:type="gramEnd"/>
      <w:r w:rsidRPr="00F47BA9">
        <w:rPr>
          <w:rFonts w:ascii="Times New Roman" w:eastAsia="仿宋" w:hAnsi="Times New Roman" w:hint="eastAsia"/>
          <w:sz w:val="24"/>
          <w:lang w:eastAsia="zh-CN"/>
        </w:rPr>
        <w:t>持有合约类信用衍生品；本基金持有的信用衍生品名义本金不得超过本基金中所对应受保护债券面值的</w:t>
      </w:r>
      <w:r w:rsidRPr="00F47BA9">
        <w:rPr>
          <w:rFonts w:ascii="Times New Roman" w:eastAsia="仿宋" w:hAnsi="Times New Roman" w:hint="eastAsia"/>
          <w:sz w:val="24"/>
          <w:lang w:eastAsia="zh-CN"/>
        </w:rPr>
        <w:t>100%</w:t>
      </w:r>
      <w:r w:rsidRPr="00F47BA9">
        <w:rPr>
          <w:rFonts w:ascii="Times New Roman" w:eastAsia="仿宋" w:hAnsi="Times New Roman" w:hint="eastAsia"/>
          <w:sz w:val="24"/>
          <w:lang w:eastAsia="zh-CN"/>
        </w:rPr>
        <w:t>；本基金投资于同一信用保护卖方的各类信用衍生品名义本金合计不得超过基金资产净值的</w:t>
      </w:r>
      <w:r w:rsidRPr="00F47BA9">
        <w:rPr>
          <w:rFonts w:ascii="Times New Roman" w:eastAsia="仿宋" w:hAnsi="Times New Roman" w:hint="eastAsia"/>
          <w:sz w:val="24"/>
          <w:lang w:eastAsia="zh-CN"/>
        </w:rPr>
        <w:t>10%</w:t>
      </w:r>
      <w:r w:rsidRPr="00F47BA9">
        <w:rPr>
          <w:rFonts w:ascii="Times New Roman" w:eastAsia="仿宋" w:hAnsi="Times New Roman" w:hint="eastAsia"/>
          <w:sz w:val="24"/>
          <w:lang w:eastAsia="zh-CN"/>
        </w:rPr>
        <w:t>；因证券或期货市场波动、证券发行人合并、基金规模变动等</w:t>
      </w:r>
      <w:r w:rsidRPr="00F47BA9">
        <w:rPr>
          <w:rFonts w:ascii="Times New Roman" w:eastAsia="仿宋" w:hAnsi="Times New Roman" w:hint="eastAsia"/>
          <w:sz w:val="24"/>
          <w:lang w:eastAsia="zh-CN"/>
        </w:rPr>
        <w:lastRenderedPageBreak/>
        <w:t>基金管理人之外的因素致使基金投资比例不符合上述规定投资比例的，基金管理人应在</w:t>
      </w: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个月内进行调整；</w:t>
      </w:r>
    </w:p>
    <w:p w14:paraId="63D77F9E"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16</w:t>
      </w:r>
      <w:r w:rsidRPr="00F47BA9">
        <w:rPr>
          <w:rFonts w:ascii="Times New Roman" w:eastAsia="仿宋" w:hAnsi="Times New Roman" w:hint="eastAsia"/>
          <w:sz w:val="24"/>
          <w:lang w:eastAsia="zh-CN"/>
        </w:rPr>
        <w:t>）本基金投资存托凭证的比例限制依照境内上市交易的股票执行，与境内上市交易的股票合并计算，法律法规或监管机构另有规定的从其规定；</w:t>
      </w:r>
    </w:p>
    <w:p w14:paraId="5D47C2F6"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17</w:t>
      </w:r>
      <w:r w:rsidRPr="00F47BA9">
        <w:rPr>
          <w:rFonts w:ascii="Times New Roman" w:eastAsia="仿宋" w:hAnsi="Times New Roman" w:hint="eastAsia"/>
          <w:sz w:val="24"/>
          <w:lang w:eastAsia="zh-CN"/>
        </w:rPr>
        <w:t>）本基金管理人管理的全部基金（</w:t>
      </w:r>
      <w:r w:rsidRPr="00F47BA9">
        <w:rPr>
          <w:rFonts w:ascii="Times New Roman" w:eastAsia="仿宋" w:hAnsi="Times New Roman" w:hint="eastAsia"/>
          <w:sz w:val="24"/>
          <w:lang w:eastAsia="zh-CN"/>
        </w:rPr>
        <w:t>ETF</w:t>
      </w:r>
      <w:r w:rsidRPr="00F47BA9">
        <w:rPr>
          <w:rFonts w:ascii="Times New Roman" w:eastAsia="仿宋" w:hAnsi="Times New Roman" w:hint="eastAsia"/>
          <w:sz w:val="24"/>
          <w:lang w:eastAsia="zh-CN"/>
        </w:rPr>
        <w:t>联接基金除外）持有单只基金不超过被投资基金净资产的</w:t>
      </w:r>
      <w:r w:rsidRPr="00F47BA9">
        <w:rPr>
          <w:rFonts w:ascii="Times New Roman" w:eastAsia="仿宋" w:hAnsi="Times New Roman" w:hint="eastAsia"/>
          <w:sz w:val="24"/>
          <w:lang w:eastAsia="zh-CN"/>
        </w:rPr>
        <w:t>20%</w:t>
      </w:r>
      <w:r w:rsidRPr="00F47BA9">
        <w:rPr>
          <w:rFonts w:ascii="Times New Roman" w:eastAsia="仿宋" w:hAnsi="Times New Roman" w:hint="eastAsia"/>
          <w:sz w:val="24"/>
          <w:lang w:eastAsia="zh-CN"/>
        </w:rPr>
        <w:t>，被投资基金净资产规模以最近定期报告披露的规模为准；</w:t>
      </w:r>
    </w:p>
    <w:p w14:paraId="250F4D2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18</w:t>
      </w:r>
      <w:r w:rsidRPr="00F47BA9">
        <w:rPr>
          <w:rFonts w:ascii="Times New Roman" w:eastAsia="仿宋" w:hAnsi="Times New Roman" w:hint="eastAsia"/>
          <w:sz w:val="24"/>
          <w:lang w:eastAsia="zh-CN"/>
        </w:rPr>
        <w:t>）本基金不得持有具有复杂、衍生品性质的基金份额，包括分级基金和中国证监会认定的其他基金份额；</w:t>
      </w:r>
    </w:p>
    <w:p w14:paraId="570FBFB0"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19</w:t>
      </w:r>
      <w:r w:rsidRPr="00F47BA9">
        <w:rPr>
          <w:rFonts w:ascii="Times New Roman" w:eastAsia="仿宋" w:hAnsi="Times New Roman" w:hint="eastAsia"/>
          <w:sz w:val="24"/>
          <w:lang w:eastAsia="zh-CN"/>
        </w:rPr>
        <w:t>）本基金投资其他基金时，被投资基金的运作期限应当不少于</w:t>
      </w: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年，最近定期报告披露的基金净资产应当不低于</w:t>
      </w: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亿元；</w:t>
      </w:r>
    </w:p>
    <w:p w14:paraId="123999B5"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20</w:t>
      </w:r>
      <w:r w:rsidRPr="00F47BA9">
        <w:rPr>
          <w:rFonts w:ascii="Times New Roman" w:eastAsia="仿宋" w:hAnsi="Times New Roman" w:hint="eastAsia"/>
          <w:sz w:val="24"/>
          <w:lang w:eastAsia="zh-CN"/>
        </w:rPr>
        <w:t>）法律法规及中国证监会规定的和《基金合同》约定的其他投资限制。</w:t>
      </w:r>
    </w:p>
    <w:p w14:paraId="46CA7544"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因证券或期货市场波动、基金规模变动等基金管理人之外的因素致使基金投资不符合前款第（</w:t>
      </w:r>
      <w:r w:rsidRPr="00F47BA9">
        <w:rPr>
          <w:rFonts w:ascii="Times New Roman" w:eastAsia="仿宋" w:hAnsi="Times New Roman" w:hint="eastAsia"/>
          <w:sz w:val="24"/>
          <w:lang w:eastAsia="zh-CN"/>
        </w:rPr>
        <w:t>17</w:t>
      </w:r>
      <w:r w:rsidRPr="00F47BA9">
        <w:rPr>
          <w:rFonts w:ascii="Times New Roman" w:eastAsia="仿宋" w:hAnsi="Times New Roman" w:hint="eastAsia"/>
          <w:sz w:val="24"/>
          <w:lang w:eastAsia="zh-CN"/>
        </w:rPr>
        <w:t>）条规定的投资比例的，基金管理人应当在</w:t>
      </w:r>
      <w:r w:rsidRPr="00F47BA9">
        <w:rPr>
          <w:rFonts w:ascii="Times New Roman" w:eastAsia="仿宋" w:hAnsi="Times New Roman" w:hint="eastAsia"/>
          <w:sz w:val="24"/>
          <w:lang w:eastAsia="zh-CN"/>
        </w:rPr>
        <w:t>20</w:t>
      </w:r>
      <w:r w:rsidRPr="00F47BA9">
        <w:rPr>
          <w:rFonts w:ascii="Times New Roman" w:eastAsia="仿宋" w:hAnsi="Times New Roman" w:hint="eastAsia"/>
          <w:sz w:val="24"/>
          <w:lang w:eastAsia="zh-CN"/>
        </w:rPr>
        <w:t>个交易日内进行调整，但中国证监会规定的特殊情形除外。除上述第（</w:t>
      </w: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11</w:t>
      </w: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12</w:t>
      </w: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15</w:t>
      </w: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17</w:t>
      </w:r>
      <w:r w:rsidRPr="00F47BA9">
        <w:rPr>
          <w:rFonts w:ascii="Times New Roman" w:eastAsia="仿宋" w:hAnsi="Times New Roman" w:hint="eastAsia"/>
          <w:sz w:val="24"/>
          <w:lang w:eastAsia="zh-CN"/>
        </w:rPr>
        <w:t>）条约定以外，因证券或期货市场波动、证券发行人合并、基金规模变动等基金管理人之外的因素致使基金投资比例不符合上述规定投资比例的，基金管理人应当在</w:t>
      </w:r>
      <w:r w:rsidRPr="00F47BA9">
        <w:rPr>
          <w:rFonts w:ascii="Times New Roman" w:eastAsia="仿宋" w:hAnsi="Times New Roman" w:hint="eastAsia"/>
          <w:sz w:val="24"/>
          <w:lang w:eastAsia="zh-CN"/>
        </w:rPr>
        <w:t>10</w:t>
      </w:r>
      <w:r w:rsidRPr="00F47BA9">
        <w:rPr>
          <w:rFonts w:ascii="Times New Roman" w:eastAsia="仿宋" w:hAnsi="Times New Roman" w:hint="eastAsia"/>
          <w:sz w:val="24"/>
          <w:lang w:eastAsia="zh-CN"/>
        </w:rPr>
        <w:t>个交易日内进行调整，但中国证监会规定的特殊情形除外。法律法规另有规定的，从其规定。</w:t>
      </w:r>
    </w:p>
    <w:p w14:paraId="60019A9A"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基金管理人应当自基金合同生效之日起</w:t>
      </w:r>
      <w:r w:rsidRPr="00F47BA9">
        <w:rPr>
          <w:rFonts w:ascii="Times New Roman" w:eastAsia="仿宋" w:hAnsi="Times New Roman" w:hint="eastAsia"/>
          <w:sz w:val="24"/>
          <w:lang w:eastAsia="zh-CN"/>
        </w:rPr>
        <w:t>6</w:t>
      </w:r>
      <w:r w:rsidRPr="00F47BA9">
        <w:rPr>
          <w:rFonts w:ascii="Times New Roman" w:eastAsia="仿宋" w:hAnsi="Times New Roman" w:hint="eastAsia"/>
          <w:sz w:val="24"/>
          <w:lang w:eastAsia="zh-CN"/>
        </w:rPr>
        <w:t>个月内使基金的投资组合比例符合基金合同的有关约定。在上述期间内，本基金的投资范围、投资策略应当符合基金合同的约定。基金托管人对基金的投资的监督与检查自基金合同生效之日起开始。</w:t>
      </w:r>
    </w:p>
    <w:p w14:paraId="3894EB2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法律法规或监管部门取消或调整上述限制，如适用于本基金，基金管理人在履行适当程序后，则本基金投资不再受相关限制或按调整后的规定执行。</w:t>
      </w:r>
    </w:p>
    <w:p w14:paraId="440EE009"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、基金托管人</w:t>
      </w:r>
      <w:bookmarkStart w:id="26" w:name="OLE_LINK1"/>
      <w:r w:rsidRPr="00F47BA9">
        <w:rPr>
          <w:rFonts w:ascii="Times New Roman" w:eastAsia="仿宋" w:hAnsi="Times New Roman" w:hint="eastAsia"/>
          <w:sz w:val="24"/>
          <w:lang w:eastAsia="zh-CN"/>
        </w:rPr>
        <w:t>根据有关法律法规的规定及基金合同和本协议的约定，</w:t>
      </w:r>
      <w:bookmarkEnd w:id="26"/>
      <w:r w:rsidRPr="00F47BA9">
        <w:rPr>
          <w:rFonts w:ascii="Times New Roman" w:eastAsia="仿宋" w:hAnsi="Times New Roman" w:hint="eastAsia"/>
          <w:sz w:val="24"/>
          <w:lang w:eastAsia="zh-CN"/>
        </w:rPr>
        <w:t>对基金投资禁止行为进行监督。基金财产不得用于下列投资或者活动：</w:t>
      </w:r>
    </w:p>
    <w:p w14:paraId="09B58613"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）承销证券；</w:t>
      </w:r>
    </w:p>
    <w:p w14:paraId="13E54159"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）违反规定向他人贷款或者提供担保；</w:t>
      </w:r>
    </w:p>
    <w:p w14:paraId="5D08C0E2"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）从事承担无限责任的投资；</w:t>
      </w:r>
    </w:p>
    <w:p w14:paraId="33DC77DE"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lastRenderedPageBreak/>
        <w:t>（</w:t>
      </w: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）持有具有复杂、衍生品性质的基金份额，包括分级基金和中国证监会认定的其他基金份额；</w:t>
      </w:r>
    </w:p>
    <w:p w14:paraId="2BEF4A5A"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5</w:t>
      </w:r>
      <w:r w:rsidRPr="00F47BA9">
        <w:rPr>
          <w:rFonts w:ascii="Times New Roman" w:eastAsia="仿宋" w:hAnsi="Times New Roman" w:hint="eastAsia"/>
          <w:sz w:val="24"/>
          <w:lang w:eastAsia="zh-CN"/>
        </w:rPr>
        <w:t>）向其基金管理人、基金托管人出资；</w:t>
      </w:r>
    </w:p>
    <w:p w14:paraId="16043C35"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6</w:t>
      </w:r>
      <w:r w:rsidRPr="00F47BA9">
        <w:rPr>
          <w:rFonts w:ascii="Times New Roman" w:eastAsia="仿宋" w:hAnsi="Times New Roman" w:hint="eastAsia"/>
          <w:sz w:val="24"/>
          <w:lang w:eastAsia="zh-CN"/>
        </w:rPr>
        <w:t>）从事内幕交易、操纵证券交易价格及其他不正当的证券交易活动；</w:t>
      </w:r>
    </w:p>
    <w:p w14:paraId="3B868B1B"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7</w:t>
      </w:r>
      <w:r w:rsidRPr="00F47BA9">
        <w:rPr>
          <w:rFonts w:ascii="Times New Roman" w:eastAsia="仿宋" w:hAnsi="Times New Roman" w:hint="eastAsia"/>
          <w:sz w:val="24"/>
          <w:lang w:eastAsia="zh-CN"/>
        </w:rPr>
        <w:t>）法律、行政法规和中国证监会规定禁止的其他活动。</w:t>
      </w:r>
    </w:p>
    <w:p w14:paraId="33935A15"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36F3B836"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本基金投资基金管理人、基金托管人及其关联方管理或托管的基金的情况，不属于前述重大关联交易，但是应当按照法律法规或监管规定的要求履行信息披露义务。</w:t>
      </w:r>
    </w:p>
    <w:p w14:paraId="3EEECEA0"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法律法规或监管部门取消或变更上述限制，如适用于本基金，在基金管理人履行适当程序后，则本基金投资不再受相关限制或按照变更后的规定执行。</w:t>
      </w:r>
      <w:bookmarkEnd w:id="25"/>
    </w:p>
    <w:p w14:paraId="6A79B640" w14:textId="77777777" w:rsidR="00FB20DE" w:rsidRPr="00F47BA9" w:rsidRDefault="00A6695E">
      <w:pPr>
        <w:spacing w:after="0" w:line="360" w:lineRule="auto"/>
        <w:ind w:firstLine="480"/>
        <w:rPr>
          <w:rFonts w:ascii="Times New Roman" w:eastAsia="仿宋" w:hAnsi="Times New Roman"/>
          <w:sz w:val="24"/>
          <w:lang w:eastAsia="zh-CN"/>
        </w:rPr>
      </w:pPr>
      <w:bookmarkStart w:id="27" w:name="OLE_LINK2"/>
      <w:bookmarkStart w:id="28" w:name="OLE_LINK4"/>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、基金托管人根据有关法律法规的规定及基金合同和本协议的约定，对基金管理人参与银行间债券市场进行监督。</w:t>
      </w:r>
      <w:bookmarkEnd w:id="27"/>
      <w:bookmarkEnd w:id="28"/>
    </w:p>
    <w:p w14:paraId="5A51A531"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）基金托管人依据有关法律法规的规定和《基金合同》的约定对于基金管理人参与银行间市场交易时面临的交易对手资信风险进行监督。</w:t>
      </w:r>
    </w:p>
    <w:p w14:paraId="093B30E1"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基金管理人向基金托管人提供符合法律法规及行业标准的银行间市场交易对手的名单。基金托管人在收到名单后</w:t>
      </w:r>
      <w:r w:rsidRPr="00F47BA9">
        <w:rPr>
          <w:rFonts w:ascii="Times New Roman" w:eastAsia="仿宋" w:hAnsi="Times New Roman"/>
          <w:sz w:val="24"/>
          <w:lang w:eastAsia="zh-CN"/>
        </w:rPr>
        <w:t>2</w:t>
      </w:r>
      <w:r w:rsidRPr="00F47BA9">
        <w:rPr>
          <w:rFonts w:ascii="Times New Roman" w:eastAsia="仿宋" w:hAnsi="Times New Roman" w:hint="eastAsia"/>
          <w:sz w:val="24"/>
          <w:lang w:eastAsia="zh-CN"/>
        </w:rPr>
        <w:t>个工作日内电话或回函确认收到该名单。如基金管理人在基金投资运作之前未向基金托管人提供银行间债券市场交易对手名单的，视为基金管理人认可全市场交易对手。基金管理人应定期和不定期对银行间市场现券及回购交易对手的名单进行更新。基金托管人在收到名单后</w:t>
      </w:r>
      <w:r w:rsidRPr="00F47BA9">
        <w:rPr>
          <w:rFonts w:ascii="Times New Roman" w:eastAsia="仿宋" w:hAnsi="Times New Roman"/>
          <w:sz w:val="24"/>
          <w:lang w:eastAsia="zh-CN"/>
        </w:rPr>
        <w:t>2</w:t>
      </w:r>
      <w:r w:rsidRPr="00F47BA9">
        <w:rPr>
          <w:rFonts w:ascii="Times New Roman" w:eastAsia="仿宋" w:hAnsi="Times New Roman" w:hint="eastAsia"/>
          <w:sz w:val="24"/>
          <w:lang w:eastAsia="zh-CN"/>
        </w:rPr>
        <w:t>个工作日内电话或书面回函确认，新名单自基金托管人确认当日生效。新名单生效前已与本次剔除的交易对手所进行但尚未结算的交易，仍应按照协议进行结算。</w:t>
      </w:r>
    </w:p>
    <w:p w14:paraId="3ECEE6AE"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lastRenderedPageBreak/>
        <w:t>（</w:t>
      </w: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）基金管理人参与银行间市场交易时，有责任控制交易对手的资信风险，由于交易对手资信风险引起的损失</w:t>
      </w:r>
      <w:r w:rsidRPr="00F47BA9">
        <w:rPr>
          <w:rFonts w:ascii="Times New Roman" w:eastAsia="仿宋" w:hAnsi="Times New Roman"/>
          <w:sz w:val="24"/>
          <w:lang w:eastAsia="zh-CN"/>
        </w:rPr>
        <w:t>，</w:t>
      </w:r>
      <w:r w:rsidRPr="00F47BA9">
        <w:rPr>
          <w:rFonts w:ascii="Times New Roman" w:eastAsia="仿宋" w:hAnsi="Times New Roman" w:hint="eastAsia"/>
          <w:sz w:val="24"/>
          <w:lang w:eastAsia="zh-CN"/>
        </w:rPr>
        <w:t>基金管理人应当负责向相关责任人追偿，基金托管人应予以必要的协助及配合。</w:t>
      </w:r>
    </w:p>
    <w:p w14:paraId="22746ADE"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sz w:val="24"/>
          <w:lang w:eastAsia="zh-CN"/>
        </w:rPr>
        <w:t>5</w:t>
      </w:r>
      <w:r w:rsidRPr="00F47BA9">
        <w:rPr>
          <w:rFonts w:ascii="Times New Roman" w:eastAsia="仿宋" w:hAnsi="Times New Roman"/>
          <w:sz w:val="24"/>
          <w:lang w:eastAsia="zh-CN"/>
        </w:rPr>
        <w:t>、</w:t>
      </w:r>
      <w:r w:rsidRPr="00F47BA9">
        <w:rPr>
          <w:rFonts w:ascii="Times New Roman" w:eastAsia="仿宋" w:hAnsi="Times New Roman" w:hint="eastAsia"/>
          <w:sz w:val="24"/>
          <w:lang w:eastAsia="zh-CN"/>
        </w:rPr>
        <w:t>基金托管人根据有关法律法规的规定及基金合同和本协议的约定，对基金管理人银行存款业务进行监督。</w:t>
      </w:r>
    </w:p>
    <w:p w14:paraId="67348F54"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本基金投资银行存款应符合如下规定：</w:t>
      </w:r>
    </w:p>
    <w:p w14:paraId="666B6AB2"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）基金管理人、基金托管人应当与存款银行建立定期对账机制，确保基金银行存款业务账目及核算的真实、准确。</w:t>
      </w:r>
    </w:p>
    <w:p w14:paraId="41E91F0F"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14:paraId="2759479C"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）基金托管人应加强对基金银行存款业务的监督与核查，严格审查、复核相关协议、账户资料、投资指令、存款证实书等有关文件，切实履行托管职责。</w:t>
      </w:r>
    </w:p>
    <w:p w14:paraId="271CF840"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）基金管理人与基金托管人在开展基金存款业务时，应严格遵守《基金法》、《运作办法》等有关法律法规，以及国家有关账户管理、利率管理、支付结算等的各项规定。</w:t>
      </w:r>
    </w:p>
    <w:p w14:paraId="1D6C7B2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6</w:t>
      </w:r>
      <w:r w:rsidRPr="00F47BA9">
        <w:rPr>
          <w:rFonts w:ascii="Times New Roman" w:eastAsia="仿宋" w:hAnsi="Times New Roman" w:hint="eastAsia"/>
          <w:sz w:val="24"/>
          <w:lang w:eastAsia="zh-CN"/>
        </w:rPr>
        <w:t>、基金托管人对基金投资流通受限证券的监督</w:t>
      </w:r>
    </w:p>
    <w:p w14:paraId="65BD6114"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）基金投资流通受限证券，应遵守《关于基金投资非公开发行股票等流通受限证券有关问题的通知》等有关法律法规规定。</w:t>
      </w:r>
    </w:p>
    <w:p w14:paraId="2D423B45"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）流通受限证券，包括非公开发行股票、公开发行股票网下配售部分等在发行时明确一定期限锁定期的可交易证券，不包括由于发布重大消息或其他原因而临时停牌的证券、已发行未上市证券、回购交易中的质押</w:t>
      </w:r>
      <w:proofErr w:type="gramStart"/>
      <w:r w:rsidRPr="00F47BA9">
        <w:rPr>
          <w:rFonts w:ascii="Times New Roman" w:eastAsia="仿宋" w:hAnsi="Times New Roman" w:hint="eastAsia"/>
          <w:sz w:val="24"/>
          <w:lang w:eastAsia="zh-CN"/>
        </w:rPr>
        <w:t>券</w:t>
      </w:r>
      <w:proofErr w:type="gramEnd"/>
      <w:r w:rsidRPr="00F47BA9">
        <w:rPr>
          <w:rFonts w:ascii="Times New Roman" w:eastAsia="仿宋" w:hAnsi="Times New Roman" w:hint="eastAsia"/>
          <w:sz w:val="24"/>
          <w:lang w:eastAsia="zh-CN"/>
        </w:rPr>
        <w:t>等流通受限证券。</w:t>
      </w:r>
    </w:p>
    <w:p w14:paraId="60E89B55"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w:t>
      </w:r>
      <w:r w:rsidRPr="00F47BA9">
        <w:rPr>
          <w:rFonts w:ascii="Times New Roman" w:eastAsia="仿宋" w:hAnsi="Times New Roman" w:hint="eastAsia"/>
          <w:sz w:val="24"/>
          <w:lang w:eastAsia="zh-CN"/>
        </w:rPr>
        <w:lastRenderedPageBreak/>
        <w:t>投资额度和投资比例控制情况。基金管理人应至少</w:t>
      </w:r>
      <w:proofErr w:type="gramStart"/>
      <w:r w:rsidRPr="00F47BA9">
        <w:rPr>
          <w:rFonts w:ascii="Times New Roman" w:eastAsia="仿宋" w:hAnsi="Times New Roman" w:hint="eastAsia"/>
          <w:sz w:val="24"/>
          <w:lang w:eastAsia="zh-CN"/>
        </w:rPr>
        <w:t>于首次</w:t>
      </w:r>
      <w:proofErr w:type="gramEnd"/>
      <w:r w:rsidRPr="00F47BA9">
        <w:rPr>
          <w:rFonts w:ascii="Times New Roman" w:eastAsia="仿宋" w:hAnsi="Times New Roman" w:hint="eastAsia"/>
          <w:sz w:val="24"/>
          <w:lang w:eastAsia="zh-CN"/>
        </w:rPr>
        <w:t>执行投资指令之前两个工作日将上述资料书面发至基金托管人，保证基金托管人有足够的时间进行审核。基金托管人应在收到上述资料后两个工作日内，以书面或其他双方认可的方式确认收到上述资料。</w:t>
      </w:r>
    </w:p>
    <w:p w14:paraId="569C00D7"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）基金投资流通受限证券前</w:t>
      </w:r>
      <w:r w:rsidRPr="00F47BA9">
        <w:rPr>
          <w:rFonts w:ascii="Times New Roman" w:eastAsia="仿宋" w:hAnsi="Times New Roman"/>
          <w:sz w:val="24"/>
          <w:lang w:eastAsia="zh-CN"/>
        </w:rPr>
        <w:t>，</w:t>
      </w:r>
      <w:r w:rsidRPr="00F47BA9">
        <w:rPr>
          <w:rFonts w:ascii="Times New Roman" w:eastAsia="仿宋" w:hAnsi="Times New Roman" w:hint="eastAsia"/>
          <w:sz w:val="24"/>
          <w:lang w:eastAsia="zh-CN"/>
        </w:rPr>
        <w:t>基金管理人应向基金托管人提供符合法律法规要求的有关书面信息</w:t>
      </w:r>
      <w:r w:rsidRPr="00F47BA9">
        <w:rPr>
          <w:rFonts w:ascii="Times New Roman" w:eastAsia="仿宋" w:hAnsi="Times New Roman"/>
          <w:sz w:val="24"/>
          <w:lang w:eastAsia="zh-CN"/>
        </w:rPr>
        <w:t>，</w:t>
      </w:r>
      <w:r w:rsidRPr="00F47BA9">
        <w:rPr>
          <w:rFonts w:ascii="Times New Roman" w:eastAsia="仿宋" w:hAnsi="Times New Roman" w:hint="eastAsia"/>
          <w:sz w:val="24"/>
          <w:lang w:eastAsia="zh-CN"/>
        </w:rPr>
        <w:t>包括但不限于拟发行证券主体的中国证监会批准或注册文件、发行证券数量、发行价格、锁定期</w:t>
      </w:r>
      <w:r w:rsidRPr="00F47BA9">
        <w:rPr>
          <w:rFonts w:ascii="Times New Roman" w:eastAsia="仿宋" w:hAnsi="Times New Roman"/>
          <w:sz w:val="24"/>
          <w:lang w:eastAsia="zh-CN"/>
        </w:rPr>
        <w:t>，</w:t>
      </w:r>
      <w:r w:rsidRPr="00F47BA9">
        <w:rPr>
          <w:rFonts w:ascii="Times New Roman" w:eastAsia="仿宋" w:hAnsi="Times New Roman" w:hint="eastAsia"/>
          <w:sz w:val="24"/>
          <w:lang w:eastAsia="zh-CN"/>
        </w:rPr>
        <w:t>基金拟认购的数量、价格、总成本、总成本占基金资产净值的比例、已持有流通受限证券市值占资产净值的比例、资金划付时间等。基金管理人应保证上述信息的真实、完整</w:t>
      </w:r>
      <w:r w:rsidRPr="00F47BA9">
        <w:rPr>
          <w:rFonts w:ascii="Times New Roman" w:eastAsia="仿宋" w:hAnsi="Times New Roman"/>
          <w:sz w:val="24"/>
          <w:lang w:eastAsia="zh-CN"/>
        </w:rPr>
        <w:t>，</w:t>
      </w:r>
      <w:r w:rsidRPr="00F47BA9">
        <w:rPr>
          <w:rFonts w:ascii="Times New Roman" w:eastAsia="仿宋" w:hAnsi="Times New Roman" w:hint="eastAsia"/>
          <w:sz w:val="24"/>
          <w:lang w:eastAsia="zh-CN"/>
        </w:rPr>
        <w:t>并应至少</w:t>
      </w:r>
      <w:proofErr w:type="gramStart"/>
      <w:r w:rsidRPr="00F47BA9">
        <w:rPr>
          <w:rFonts w:ascii="Times New Roman" w:eastAsia="仿宋" w:hAnsi="Times New Roman" w:hint="eastAsia"/>
          <w:sz w:val="24"/>
          <w:lang w:eastAsia="zh-CN"/>
        </w:rPr>
        <w:t>于拟执行</w:t>
      </w:r>
      <w:proofErr w:type="gramEnd"/>
      <w:r w:rsidRPr="00F47BA9">
        <w:rPr>
          <w:rFonts w:ascii="Times New Roman" w:eastAsia="仿宋" w:hAnsi="Times New Roman" w:hint="eastAsia"/>
          <w:sz w:val="24"/>
          <w:lang w:eastAsia="zh-CN"/>
        </w:rPr>
        <w:t>投资指令前两个工作日将上述信息书面发至基金托管人</w:t>
      </w:r>
      <w:r w:rsidRPr="00F47BA9">
        <w:rPr>
          <w:rFonts w:ascii="Times New Roman" w:eastAsia="仿宋" w:hAnsi="Times New Roman"/>
          <w:sz w:val="24"/>
          <w:lang w:eastAsia="zh-CN"/>
        </w:rPr>
        <w:t>，</w:t>
      </w:r>
      <w:r w:rsidRPr="00F47BA9">
        <w:rPr>
          <w:rFonts w:ascii="Times New Roman" w:eastAsia="仿宋" w:hAnsi="Times New Roman" w:hint="eastAsia"/>
          <w:sz w:val="24"/>
          <w:lang w:eastAsia="zh-CN"/>
        </w:rPr>
        <w:t>保证基金托管人有足够的时间进行审核。</w:t>
      </w:r>
    </w:p>
    <w:p w14:paraId="39D926B3"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5</w:t>
      </w:r>
      <w:r w:rsidRPr="00F47BA9">
        <w:rPr>
          <w:rFonts w:ascii="Times New Roman" w:eastAsia="仿宋" w:hAnsi="Times New Roman" w:hint="eastAsia"/>
          <w:sz w:val="24"/>
          <w:lang w:eastAsia="zh-CN"/>
        </w:rPr>
        <w:t>）基金托管人应对基金管理人提供的有关书面信息进行审核，基金托管人认为上述资料可能导致基金投资出现风险的</w:t>
      </w:r>
      <w:r w:rsidRPr="00F47BA9">
        <w:rPr>
          <w:rFonts w:ascii="Times New Roman" w:eastAsia="仿宋" w:hAnsi="Times New Roman"/>
          <w:sz w:val="24"/>
          <w:lang w:eastAsia="zh-CN"/>
        </w:rPr>
        <w:t>，</w:t>
      </w:r>
      <w:r w:rsidRPr="00F47BA9">
        <w:rPr>
          <w:rFonts w:ascii="Times New Roman" w:eastAsia="仿宋" w:hAnsi="Times New Roman" w:hint="eastAsia"/>
          <w:sz w:val="24"/>
          <w:lang w:eastAsia="zh-CN"/>
        </w:rPr>
        <w:t>有权要求基金管理人在投资流通受限证券前就该风险的消除或防范措施进行补充书面说明</w:t>
      </w:r>
      <w:r w:rsidRPr="00F47BA9">
        <w:rPr>
          <w:rFonts w:ascii="Times New Roman" w:eastAsia="仿宋" w:hAnsi="Times New Roman"/>
          <w:sz w:val="24"/>
          <w:lang w:eastAsia="zh-CN"/>
        </w:rPr>
        <w:t>，</w:t>
      </w:r>
      <w:r w:rsidRPr="00F47BA9">
        <w:rPr>
          <w:rFonts w:ascii="Times New Roman" w:eastAsia="仿宋" w:hAnsi="Times New Roman" w:hint="eastAsia"/>
          <w:sz w:val="24"/>
          <w:lang w:eastAsia="zh-CN"/>
        </w:rPr>
        <w:t>并保留查看基金管理人风险管理部门就基金投资流通受限证券出具的风险评估报告等备查资料的权利。否则</w:t>
      </w:r>
      <w:r w:rsidRPr="00F47BA9">
        <w:rPr>
          <w:rFonts w:ascii="Times New Roman" w:eastAsia="仿宋" w:hAnsi="Times New Roman"/>
          <w:sz w:val="24"/>
          <w:lang w:eastAsia="zh-CN"/>
        </w:rPr>
        <w:t>，</w:t>
      </w:r>
      <w:r w:rsidRPr="00F47BA9">
        <w:rPr>
          <w:rFonts w:ascii="Times New Roman" w:eastAsia="仿宋" w:hAnsi="Times New Roman" w:hint="eastAsia"/>
          <w:sz w:val="24"/>
          <w:lang w:eastAsia="zh-CN"/>
        </w:rPr>
        <w:t>基金托管人有权拒绝执行有关指令。因拒绝执行该指令造成基金财产损失的</w:t>
      </w:r>
      <w:r w:rsidRPr="00F47BA9">
        <w:rPr>
          <w:rFonts w:ascii="Times New Roman" w:eastAsia="仿宋" w:hAnsi="Times New Roman"/>
          <w:sz w:val="24"/>
          <w:lang w:eastAsia="zh-CN"/>
        </w:rPr>
        <w:t>，</w:t>
      </w:r>
      <w:r w:rsidRPr="00F47BA9">
        <w:rPr>
          <w:rFonts w:ascii="Times New Roman" w:eastAsia="仿宋" w:hAnsi="Times New Roman" w:hint="eastAsia"/>
          <w:sz w:val="24"/>
          <w:lang w:eastAsia="zh-CN"/>
        </w:rPr>
        <w:t>基金托管人不承担相应责任</w:t>
      </w:r>
      <w:r w:rsidRPr="00F47BA9">
        <w:rPr>
          <w:rFonts w:ascii="Times New Roman" w:eastAsia="仿宋" w:hAnsi="Times New Roman"/>
          <w:sz w:val="24"/>
          <w:lang w:eastAsia="zh-CN"/>
        </w:rPr>
        <w:t>，</w:t>
      </w:r>
      <w:r w:rsidRPr="00F47BA9">
        <w:rPr>
          <w:rFonts w:ascii="Times New Roman" w:eastAsia="仿宋" w:hAnsi="Times New Roman" w:hint="eastAsia"/>
          <w:sz w:val="24"/>
          <w:lang w:eastAsia="zh-CN"/>
        </w:rPr>
        <w:t>并有权报告中国证监会。</w:t>
      </w:r>
    </w:p>
    <w:p w14:paraId="5AAE7EC3"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如基金管理人和基金托管人无法达成一致</w:t>
      </w:r>
      <w:r w:rsidRPr="00F47BA9">
        <w:rPr>
          <w:rFonts w:ascii="Times New Roman" w:eastAsia="仿宋" w:hAnsi="Times New Roman"/>
          <w:sz w:val="24"/>
          <w:lang w:eastAsia="zh-CN"/>
        </w:rPr>
        <w:t>，</w:t>
      </w:r>
      <w:r w:rsidRPr="00F47BA9">
        <w:rPr>
          <w:rFonts w:ascii="Times New Roman" w:eastAsia="仿宋" w:hAnsi="Times New Roman" w:hint="eastAsia"/>
          <w:sz w:val="24"/>
          <w:lang w:eastAsia="zh-CN"/>
        </w:rPr>
        <w:t>应及时上报中国证监会请求解决。如果基金托管人切实履行监督职责</w:t>
      </w:r>
      <w:r w:rsidRPr="00F47BA9">
        <w:rPr>
          <w:rFonts w:ascii="Times New Roman" w:eastAsia="仿宋" w:hAnsi="Times New Roman"/>
          <w:sz w:val="24"/>
          <w:lang w:eastAsia="zh-CN"/>
        </w:rPr>
        <w:t>，</w:t>
      </w:r>
      <w:r w:rsidRPr="00F47BA9">
        <w:rPr>
          <w:rFonts w:ascii="Times New Roman" w:eastAsia="仿宋" w:hAnsi="Times New Roman" w:hint="eastAsia"/>
          <w:sz w:val="24"/>
          <w:lang w:eastAsia="zh-CN"/>
        </w:rPr>
        <w:t>则不承担相应责任。</w:t>
      </w:r>
    </w:p>
    <w:p w14:paraId="7341E19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sz w:val="24"/>
          <w:lang w:eastAsia="zh-CN"/>
        </w:rPr>
        <w:t>7</w:t>
      </w:r>
      <w:r w:rsidRPr="00F47BA9">
        <w:rPr>
          <w:rFonts w:ascii="Times New Roman" w:eastAsia="仿宋" w:hAnsi="Times New Roman"/>
          <w:sz w:val="24"/>
          <w:lang w:eastAsia="zh-CN"/>
        </w:rPr>
        <w:t>、基金托管人根据法律法规的规定及《基金合同》和本协议的约定，对基金投资其他方面进行监督。</w:t>
      </w:r>
    </w:p>
    <w:p w14:paraId="41786D7E" w14:textId="33FBA55F" w:rsidR="00FB20DE" w:rsidRPr="00F47BA9" w:rsidRDefault="00521344">
      <w:pPr>
        <w:spacing w:after="0" w:line="360" w:lineRule="auto"/>
        <w:ind w:firstLine="480"/>
        <w:rPr>
          <w:rFonts w:ascii="Times New Roman" w:eastAsia="仿宋" w:hAnsi="Times New Roman"/>
          <w:sz w:val="24"/>
          <w:lang w:eastAsia="zh-CN"/>
        </w:rPr>
      </w:pPr>
      <w:r w:rsidRPr="00521344">
        <w:rPr>
          <w:rFonts w:ascii="Times New Roman" w:eastAsia="仿宋" w:hAnsi="Times New Roman" w:hint="eastAsia"/>
          <w:sz w:val="24"/>
          <w:lang w:eastAsia="zh-CN"/>
        </w:rPr>
        <w:t>本基金主动投资的信用债（含资产支持证券，下同）的信用评级须在</w:t>
      </w:r>
      <w:r w:rsidRPr="00521344">
        <w:rPr>
          <w:rFonts w:ascii="Times New Roman" w:eastAsia="仿宋" w:hAnsi="Times New Roman" w:hint="eastAsia"/>
          <w:sz w:val="24"/>
          <w:lang w:eastAsia="zh-CN"/>
        </w:rPr>
        <w:t>AA+</w:t>
      </w:r>
      <w:r w:rsidRPr="00521344">
        <w:rPr>
          <w:rFonts w:ascii="Times New Roman" w:eastAsia="仿宋" w:hAnsi="Times New Roman" w:hint="eastAsia"/>
          <w:sz w:val="24"/>
          <w:lang w:eastAsia="zh-CN"/>
        </w:rPr>
        <w:t>（含</w:t>
      </w:r>
      <w:r w:rsidRPr="00521344">
        <w:rPr>
          <w:rFonts w:ascii="Times New Roman" w:eastAsia="仿宋" w:hAnsi="Times New Roman" w:hint="eastAsia"/>
          <w:sz w:val="24"/>
          <w:lang w:eastAsia="zh-CN"/>
        </w:rPr>
        <w:t>AA+</w:t>
      </w:r>
      <w:r w:rsidRPr="00521344">
        <w:rPr>
          <w:rFonts w:ascii="Times New Roman" w:eastAsia="仿宋" w:hAnsi="Times New Roman" w:hint="eastAsia"/>
          <w:sz w:val="24"/>
          <w:lang w:eastAsia="zh-CN"/>
        </w:rPr>
        <w:t>）以上，其中投资于信用评级为</w:t>
      </w:r>
      <w:r w:rsidRPr="00521344">
        <w:rPr>
          <w:rFonts w:ascii="Times New Roman" w:eastAsia="仿宋" w:hAnsi="Times New Roman" w:hint="eastAsia"/>
          <w:sz w:val="24"/>
          <w:lang w:eastAsia="zh-CN"/>
        </w:rPr>
        <w:t>AAA</w:t>
      </w:r>
      <w:r w:rsidRPr="00521344">
        <w:rPr>
          <w:rFonts w:ascii="Times New Roman" w:eastAsia="仿宋" w:hAnsi="Times New Roman" w:hint="eastAsia"/>
          <w:sz w:val="24"/>
          <w:lang w:eastAsia="zh-CN"/>
        </w:rPr>
        <w:t>的信用</w:t>
      </w:r>
      <w:proofErr w:type="gramStart"/>
      <w:r w:rsidRPr="00521344">
        <w:rPr>
          <w:rFonts w:ascii="Times New Roman" w:eastAsia="仿宋" w:hAnsi="Times New Roman" w:hint="eastAsia"/>
          <w:sz w:val="24"/>
          <w:lang w:eastAsia="zh-CN"/>
        </w:rPr>
        <w:t>债占信用债资产</w:t>
      </w:r>
      <w:proofErr w:type="gramEnd"/>
      <w:r w:rsidRPr="00521344">
        <w:rPr>
          <w:rFonts w:ascii="Times New Roman" w:eastAsia="仿宋" w:hAnsi="Times New Roman" w:hint="eastAsia"/>
          <w:sz w:val="24"/>
          <w:lang w:eastAsia="zh-CN"/>
        </w:rPr>
        <w:t>的投资比例为</w:t>
      </w:r>
      <w:r w:rsidRPr="00521344">
        <w:rPr>
          <w:rFonts w:ascii="Times New Roman" w:eastAsia="仿宋" w:hAnsi="Times New Roman" w:hint="eastAsia"/>
          <w:sz w:val="24"/>
          <w:lang w:eastAsia="zh-CN"/>
        </w:rPr>
        <w:t>50%-100%</w:t>
      </w:r>
      <w:r w:rsidRPr="00521344">
        <w:rPr>
          <w:rFonts w:ascii="Times New Roman" w:eastAsia="仿宋" w:hAnsi="Times New Roman" w:hint="eastAsia"/>
          <w:sz w:val="24"/>
          <w:lang w:eastAsia="zh-CN"/>
        </w:rPr>
        <w:t>，投资于信用评级为</w:t>
      </w:r>
      <w:r w:rsidRPr="00521344">
        <w:rPr>
          <w:rFonts w:ascii="Times New Roman" w:eastAsia="仿宋" w:hAnsi="Times New Roman" w:hint="eastAsia"/>
          <w:sz w:val="24"/>
          <w:lang w:eastAsia="zh-CN"/>
        </w:rPr>
        <w:t>AA+</w:t>
      </w:r>
      <w:r w:rsidRPr="00521344">
        <w:rPr>
          <w:rFonts w:ascii="Times New Roman" w:eastAsia="仿宋" w:hAnsi="Times New Roman" w:hint="eastAsia"/>
          <w:sz w:val="24"/>
          <w:lang w:eastAsia="zh-CN"/>
        </w:rPr>
        <w:t>的信用</w:t>
      </w:r>
      <w:proofErr w:type="gramStart"/>
      <w:r w:rsidRPr="00521344">
        <w:rPr>
          <w:rFonts w:ascii="Times New Roman" w:eastAsia="仿宋" w:hAnsi="Times New Roman" w:hint="eastAsia"/>
          <w:sz w:val="24"/>
          <w:lang w:eastAsia="zh-CN"/>
        </w:rPr>
        <w:t>债占信用债资产</w:t>
      </w:r>
      <w:proofErr w:type="gramEnd"/>
      <w:r w:rsidRPr="00521344">
        <w:rPr>
          <w:rFonts w:ascii="Times New Roman" w:eastAsia="仿宋" w:hAnsi="Times New Roman" w:hint="eastAsia"/>
          <w:sz w:val="24"/>
          <w:lang w:eastAsia="zh-CN"/>
        </w:rPr>
        <w:t>的投资比例为</w:t>
      </w:r>
      <w:r w:rsidRPr="00521344">
        <w:rPr>
          <w:rFonts w:ascii="Times New Roman" w:eastAsia="仿宋" w:hAnsi="Times New Roman" w:hint="eastAsia"/>
          <w:sz w:val="24"/>
          <w:lang w:eastAsia="zh-CN"/>
        </w:rPr>
        <w:t>0-50%</w:t>
      </w:r>
      <w:r w:rsidRPr="00521344">
        <w:rPr>
          <w:rFonts w:ascii="Times New Roman" w:eastAsia="仿宋" w:hAnsi="Times New Roman" w:hint="eastAsia"/>
          <w:sz w:val="24"/>
          <w:lang w:eastAsia="zh-CN"/>
        </w:rPr>
        <w:t>。其中短期融资</w:t>
      </w:r>
      <w:proofErr w:type="gramStart"/>
      <w:r w:rsidRPr="00521344">
        <w:rPr>
          <w:rFonts w:ascii="Times New Roman" w:eastAsia="仿宋" w:hAnsi="Times New Roman" w:hint="eastAsia"/>
          <w:sz w:val="24"/>
          <w:lang w:eastAsia="zh-CN"/>
        </w:rPr>
        <w:t>券</w:t>
      </w:r>
      <w:proofErr w:type="gramEnd"/>
      <w:r w:rsidRPr="00521344">
        <w:rPr>
          <w:rFonts w:ascii="Times New Roman" w:eastAsia="仿宋" w:hAnsi="Times New Roman" w:hint="eastAsia"/>
          <w:sz w:val="24"/>
          <w:lang w:eastAsia="zh-CN"/>
        </w:rPr>
        <w:t>、超短期融资</w:t>
      </w:r>
      <w:proofErr w:type="gramStart"/>
      <w:r w:rsidRPr="00521344">
        <w:rPr>
          <w:rFonts w:ascii="Times New Roman" w:eastAsia="仿宋" w:hAnsi="Times New Roman" w:hint="eastAsia"/>
          <w:sz w:val="24"/>
          <w:lang w:eastAsia="zh-CN"/>
        </w:rPr>
        <w:t>券</w:t>
      </w:r>
      <w:proofErr w:type="gramEnd"/>
      <w:r w:rsidRPr="00521344">
        <w:rPr>
          <w:rFonts w:ascii="Times New Roman" w:eastAsia="仿宋" w:hAnsi="Times New Roman" w:hint="eastAsia"/>
          <w:sz w:val="24"/>
          <w:lang w:eastAsia="zh-CN"/>
        </w:rPr>
        <w:t>等短期信用债的信用评级参照基金管理人选定的评级机构出具的主体信用评级，金融债券（不含政策性金融债）、企业债券、公司债券、次级债券、中期票据、政府支持机构债券、政府支持债券等信用评级的认定参照基金管理人选定的评级机构出具的债项评级（如评级机构未出具债项评级的，则参考主体信用评级）。本基金持有信用债期间，如果其信用评级下降不再符合前述标准，应在评级报告发布之日起</w:t>
      </w:r>
      <w:r w:rsidRPr="00521344">
        <w:rPr>
          <w:rFonts w:ascii="Times New Roman" w:eastAsia="仿宋" w:hAnsi="Times New Roman" w:hint="eastAsia"/>
          <w:sz w:val="24"/>
          <w:lang w:eastAsia="zh-CN"/>
        </w:rPr>
        <w:t>3</w:t>
      </w:r>
      <w:r w:rsidRPr="00521344">
        <w:rPr>
          <w:rFonts w:ascii="Times New Roman" w:eastAsia="仿宋" w:hAnsi="Times New Roman" w:hint="eastAsia"/>
          <w:sz w:val="24"/>
          <w:lang w:eastAsia="zh-CN"/>
        </w:rPr>
        <w:t>个月内调整</w:t>
      </w:r>
      <w:r w:rsidRPr="00521344">
        <w:rPr>
          <w:rFonts w:ascii="Times New Roman" w:eastAsia="仿宋" w:hAnsi="Times New Roman" w:hint="eastAsia"/>
          <w:sz w:val="24"/>
          <w:lang w:eastAsia="zh-CN"/>
        </w:rPr>
        <w:lastRenderedPageBreak/>
        <w:t>至符合约定。</w:t>
      </w:r>
    </w:p>
    <w:p w14:paraId="440D5C8E"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二）基金托管人应根据有关法律法规的规定及基金合同的约定，对基金资产净值计算、各类基金份额净值计算、应收资金到账、基金费用开支及收入确认、基金收益分配、相关信息披露、基金宣传推介材料中登载基金业绩表现数据等进行监督和核查。如果基金管理人未经基金托管人的审核擅自将不实的业绩表现数据印制在宣传推介材料上，</w:t>
      </w:r>
      <w:proofErr w:type="gramStart"/>
      <w:r w:rsidRPr="00F47BA9">
        <w:rPr>
          <w:rFonts w:ascii="Times New Roman" w:eastAsia="仿宋" w:hAnsi="Times New Roman" w:hint="eastAsia"/>
          <w:sz w:val="24"/>
          <w:lang w:eastAsia="zh-CN"/>
        </w:rPr>
        <w:t>则基金</w:t>
      </w:r>
      <w:proofErr w:type="gramEnd"/>
      <w:r w:rsidRPr="00F47BA9">
        <w:rPr>
          <w:rFonts w:ascii="Times New Roman" w:eastAsia="仿宋" w:hAnsi="Times New Roman" w:hint="eastAsia"/>
          <w:sz w:val="24"/>
          <w:lang w:eastAsia="zh-CN"/>
        </w:rPr>
        <w:t>托管人对此不承担相应责任，并有权在发现后报告中国证监会。</w:t>
      </w:r>
    </w:p>
    <w:p w14:paraId="4FA48EFF"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三）基金管理人应积极配合和协助基金托管人的监督和核查，在规定时间内答复并改正，就基金托管人的合理疑义进行解释或举证。对基金托管人按照法规要求需向中国证监会报送基金监督报告的，基金管理人应积极配合提供相关数据资料和制度等。</w:t>
      </w:r>
    </w:p>
    <w:p w14:paraId="770EBD8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托管人发现基金管理人的投资指令或实际投资运作违反《基金法》及其他有关法规、《基金合同》和本协议规定的行为，应及时以书面形式通知基金管理人限期纠正，基金管理人收到通知后应及时核对，并以电话或书面形式向基金托管人反馈，说明违规原因及纠正期限，并保证在规定期限内及时改正。在限期内，基金托管人有权随时对通知事项进行复查，督促基金管理人改正。基金管理人对基金托管人通知的违规事项未能在限期内纠正的，基金托管人有权报告中国证监会。</w:t>
      </w:r>
    </w:p>
    <w:p w14:paraId="0B8AC02A"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基金托管人发现基金管理人有重大违规行为，应立即报告中国证监会，同时通知基金管理人在限期内纠正。</w:t>
      </w:r>
    </w:p>
    <w:p w14:paraId="64FABB23"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基金托管人发现基金管理人的指令违反法律、行政法规和其他有关规定，或者违反《基金合同》约定的，应当视情况暂缓或拒绝执行，立即通知基金管理人，并</w:t>
      </w:r>
      <w:r w:rsidRPr="00F47BA9">
        <w:rPr>
          <w:rFonts w:ascii="Times New Roman" w:eastAsia="仿宋" w:hAnsi="Times New Roman"/>
          <w:sz w:val="24"/>
          <w:lang w:eastAsia="zh-CN"/>
        </w:rPr>
        <w:t>按规定向中国证监会报告。</w:t>
      </w:r>
    </w:p>
    <w:p w14:paraId="01EA0A2E"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基金托管人发现基金管理人依据交易程序已经生效的指令违反法律、行政法规和其他有关规定，或者违反《基金合同》约定的，应当立即通知基金管理人，并</w:t>
      </w:r>
      <w:r w:rsidRPr="00F47BA9">
        <w:rPr>
          <w:rFonts w:ascii="Times New Roman" w:eastAsia="仿宋" w:hAnsi="Times New Roman"/>
          <w:sz w:val="24"/>
          <w:lang w:eastAsia="zh-CN"/>
        </w:rPr>
        <w:t>按规定向中国证监会报告。</w:t>
      </w:r>
    </w:p>
    <w:p w14:paraId="0A953FBC"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（四）当基金持有特定资产且存在或潜在大额赎回申请时，根据最大限度保护基金份额持有人利益的原则，基金管理人经与基金托管人协商一致，并咨询会计师事务所意见后，可以依照法律法规及基金合同的约定</w:t>
      </w:r>
      <w:proofErr w:type="gramStart"/>
      <w:r w:rsidRPr="00F47BA9">
        <w:rPr>
          <w:rFonts w:ascii="Times New Roman" w:eastAsia="仿宋" w:hAnsi="Times New Roman" w:hint="eastAsia"/>
          <w:sz w:val="24"/>
          <w:lang w:eastAsia="zh-CN"/>
        </w:rPr>
        <w:t>启用侧袋机制</w:t>
      </w:r>
      <w:proofErr w:type="gramEnd"/>
      <w:r w:rsidRPr="00F47BA9">
        <w:rPr>
          <w:rFonts w:ascii="Times New Roman" w:eastAsia="仿宋" w:hAnsi="Times New Roman" w:hint="eastAsia"/>
          <w:sz w:val="24"/>
          <w:lang w:eastAsia="zh-CN"/>
        </w:rPr>
        <w:t>，无需召开基金份额持有人大会审议。</w:t>
      </w:r>
    </w:p>
    <w:p w14:paraId="1ABACB8B"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lastRenderedPageBreak/>
        <w:t>基金托管人依照相关法律法规的规定和基金合同的约定，对侧</w:t>
      </w:r>
      <w:proofErr w:type="gramStart"/>
      <w:r w:rsidRPr="00F47BA9">
        <w:rPr>
          <w:rFonts w:ascii="Times New Roman" w:eastAsia="仿宋" w:hAnsi="Times New Roman" w:hint="eastAsia"/>
          <w:sz w:val="24"/>
          <w:lang w:eastAsia="zh-CN"/>
        </w:rPr>
        <w:t>袋机制</w:t>
      </w:r>
      <w:proofErr w:type="gramEnd"/>
      <w:r w:rsidRPr="00F47BA9">
        <w:rPr>
          <w:rFonts w:ascii="Times New Roman" w:eastAsia="仿宋" w:hAnsi="Times New Roman" w:hint="eastAsia"/>
          <w:sz w:val="24"/>
          <w:lang w:eastAsia="zh-CN"/>
        </w:rPr>
        <w:t>启用、特定资产处置和信息披露等方面进行复核和监督。</w:t>
      </w:r>
      <w:proofErr w:type="gramStart"/>
      <w:r w:rsidRPr="00F47BA9">
        <w:rPr>
          <w:rFonts w:ascii="Times New Roman" w:eastAsia="仿宋" w:hAnsi="Times New Roman" w:hint="eastAsia"/>
          <w:sz w:val="24"/>
          <w:lang w:eastAsia="zh-CN"/>
        </w:rPr>
        <w:t>侧袋机制</w:t>
      </w:r>
      <w:proofErr w:type="gramEnd"/>
      <w:r w:rsidRPr="00F47BA9">
        <w:rPr>
          <w:rFonts w:ascii="Times New Roman" w:eastAsia="仿宋" w:hAnsi="Times New Roman" w:hint="eastAsia"/>
          <w:sz w:val="24"/>
          <w:lang w:eastAsia="zh-CN"/>
        </w:rPr>
        <w:t>实施期间的具体规则依照相关法律法规的规定和基金合同的约定执行。</w:t>
      </w:r>
    </w:p>
    <w:p w14:paraId="0B1F5F78" w14:textId="77777777" w:rsidR="00FB20DE" w:rsidRPr="00F47BA9" w:rsidRDefault="00A6695E">
      <w:pPr>
        <w:pStyle w:val="1"/>
        <w:pageBreakBefore/>
        <w:jc w:val="center"/>
        <w:rPr>
          <w:rFonts w:ascii="Times New Roman" w:eastAsia="仿宋" w:hAnsi="Times New Roman"/>
          <w:color w:val="auto"/>
          <w:lang w:eastAsia="zh-CN"/>
        </w:rPr>
      </w:pPr>
      <w:bookmarkStart w:id="29" w:name="_Toc121842069"/>
      <w:r w:rsidRPr="00F47BA9">
        <w:rPr>
          <w:rFonts w:ascii="Times New Roman" w:eastAsia="仿宋" w:hAnsi="Times New Roman" w:hint="eastAsia"/>
          <w:color w:val="auto"/>
          <w:lang w:eastAsia="zh-CN"/>
        </w:rPr>
        <w:lastRenderedPageBreak/>
        <w:t>四、基金管理人对基金托管人的业务核查</w:t>
      </w:r>
      <w:bookmarkEnd w:id="24"/>
      <w:bookmarkEnd w:id="29"/>
    </w:p>
    <w:p w14:paraId="4D9E29D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根据《基金法》及其他有关法规、《基金合同》和本协议规定，基金管理人对基金托管人履行托管职责的情况进行核查，核查事项包括但不限于基金托管人是否安全保管基金财产、开立基金财产的资金账户、证券账户及债券托管账户等投资所需账户，是否及时、准确复核基金管理人计算的基金资产净值和各类基金份额净值，是否根据基金管理人指令办理清算交收，是否按照法规规定和《基金合同》规定进行相关信息披露和监督基金投资运作等行为。</w:t>
      </w:r>
    </w:p>
    <w:p w14:paraId="47B8EC5F"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基金管理人定期和不定期地对基金托管人保管的基金资产进行核查。基金托管人应积极配合基金管理人的核查行为，包括但不限于：提交相关资料以</w:t>
      </w:r>
      <w:proofErr w:type="gramStart"/>
      <w:r w:rsidRPr="00F47BA9">
        <w:rPr>
          <w:rFonts w:ascii="Times New Roman" w:eastAsia="仿宋" w:hAnsi="Times New Roman" w:hint="eastAsia"/>
          <w:sz w:val="24"/>
          <w:lang w:eastAsia="zh-CN"/>
        </w:rPr>
        <w:t>供基金</w:t>
      </w:r>
      <w:proofErr w:type="gramEnd"/>
      <w:r w:rsidRPr="00F47BA9">
        <w:rPr>
          <w:rFonts w:ascii="Times New Roman" w:eastAsia="仿宋" w:hAnsi="Times New Roman" w:hint="eastAsia"/>
          <w:sz w:val="24"/>
          <w:lang w:eastAsia="zh-CN"/>
        </w:rPr>
        <w:t>管理人核查托管财产的完整性和真实性，在规定时间内答复并改正。</w:t>
      </w:r>
    </w:p>
    <w:p w14:paraId="1C50DC05"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限期内纠正，基金托管人收到通知后应及时核对并以书面形式对基金管理人发出回函。在限期内，基金管理人有权随时对通知事项进行复查，督促基金托管人改正。基金托管人对基金管理人通知的违规事项未能在限期内纠正的，基金管理人应报告中国证监会。对基金管理人按照法规要求需向中国证监会报送基金监督报告的，基金托管人应积极配合提供相关数据资料和制度等。</w:t>
      </w:r>
    </w:p>
    <w:p w14:paraId="651567AF"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基金管理人发现基金托管人有重大违规行为，应立即报告中国证监会，同时通知基金托管人在限期内纠正。</w:t>
      </w:r>
    </w:p>
    <w:p w14:paraId="01378370" w14:textId="77777777" w:rsidR="00FB20DE" w:rsidRPr="00F47BA9" w:rsidRDefault="00A6695E">
      <w:pPr>
        <w:pStyle w:val="1"/>
        <w:pageBreakBefore/>
        <w:jc w:val="center"/>
        <w:rPr>
          <w:rFonts w:ascii="Times New Roman" w:eastAsia="仿宋" w:hAnsi="Times New Roman"/>
          <w:color w:val="auto"/>
          <w:lang w:eastAsia="zh-CN"/>
        </w:rPr>
      </w:pPr>
      <w:bookmarkStart w:id="30" w:name="_Toc121842070"/>
      <w:bookmarkStart w:id="31" w:name="_Toc22454437"/>
      <w:bookmarkStart w:id="32" w:name="_Toc125892441"/>
      <w:bookmarkStart w:id="33" w:name="_Toc466788854"/>
      <w:bookmarkStart w:id="34" w:name="_Toc523829995"/>
      <w:r w:rsidRPr="00F47BA9">
        <w:rPr>
          <w:rFonts w:ascii="Times New Roman" w:eastAsia="仿宋" w:hAnsi="Times New Roman" w:hint="eastAsia"/>
          <w:color w:val="auto"/>
          <w:lang w:eastAsia="zh-CN"/>
        </w:rPr>
        <w:lastRenderedPageBreak/>
        <w:t>五、基金财产的保管</w:t>
      </w:r>
      <w:bookmarkEnd w:id="30"/>
      <w:bookmarkEnd w:id="31"/>
      <w:bookmarkEnd w:id="32"/>
      <w:bookmarkEnd w:id="33"/>
      <w:bookmarkEnd w:id="34"/>
    </w:p>
    <w:p w14:paraId="49BA1184" w14:textId="77777777" w:rsidR="00FB20DE" w:rsidRPr="00F47BA9" w:rsidRDefault="00A6695E">
      <w:pPr>
        <w:spacing w:after="0" w:line="360" w:lineRule="auto"/>
        <w:ind w:firstLine="480"/>
        <w:rPr>
          <w:rFonts w:ascii="Times New Roman" w:eastAsia="仿宋" w:hAnsi="Times New Roman"/>
          <w:bCs/>
          <w:sz w:val="24"/>
          <w:lang w:eastAsia="zh-CN"/>
        </w:rPr>
      </w:pPr>
      <w:bookmarkStart w:id="35" w:name="_Toc37159173"/>
      <w:bookmarkStart w:id="36" w:name="_Toc77662997"/>
      <w:r w:rsidRPr="00F47BA9">
        <w:rPr>
          <w:rFonts w:ascii="Times New Roman" w:eastAsia="仿宋" w:hAnsi="Times New Roman" w:hint="eastAsia"/>
          <w:bCs/>
          <w:sz w:val="24"/>
          <w:lang w:eastAsia="zh-CN"/>
        </w:rPr>
        <w:t>（一）基金财产保管的原则</w:t>
      </w:r>
      <w:bookmarkEnd w:id="35"/>
      <w:bookmarkEnd w:id="36"/>
    </w:p>
    <w:p w14:paraId="023EC6C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、基金托管人应安全保管基金财产，未经基金管理人的指令，不得自行运用、处分、分配基金的任何资产。</w:t>
      </w:r>
    </w:p>
    <w:p w14:paraId="3D5C8CB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、基金财产应独立于基金管理人、基金托管人和证券经纪机构的固有财产。</w:t>
      </w:r>
    </w:p>
    <w:p w14:paraId="228F532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、基金托管人按照规定开立基金财产的资金账户、证券账户和债券托管账户等投资所需账户，基金管理人按照规定开立期货账户和基金账户等。</w:t>
      </w:r>
    </w:p>
    <w:p w14:paraId="6F76B824"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、基金托管人对所托管的不同基金财产分别设置账户，确保基金财产的完整和独立。</w:t>
      </w:r>
    </w:p>
    <w:p w14:paraId="38833244" w14:textId="77777777" w:rsidR="00FB20DE" w:rsidRPr="00F47BA9" w:rsidRDefault="00A6695E">
      <w:pPr>
        <w:spacing w:after="0" w:line="360" w:lineRule="auto"/>
        <w:ind w:firstLine="480"/>
        <w:rPr>
          <w:rFonts w:ascii="Times New Roman" w:eastAsia="仿宋" w:hAnsi="Times New Roman"/>
          <w:sz w:val="24"/>
          <w:lang w:eastAsia="zh-CN"/>
        </w:rPr>
      </w:pPr>
      <w:bookmarkStart w:id="37" w:name="_Toc77662998"/>
      <w:bookmarkStart w:id="38" w:name="_Toc37159174"/>
      <w:r w:rsidRPr="00F47BA9">
        <w:rPr>
          <w:rFonts w:ascii="Times New Roman" w:eastAsia="仿宋" w:hAnsi="Times New Roman" w:hint="eastAsia"/>
          <w:sz w:val="24"/>
          <w:lang w:eastAsia="zh-CN"/>
        </w:rPr>
        <w:t>5</w:t>
      </w:r>
      <w:r w:rsidRPr="00F47BA9">
        <w:rPr>
          <w:rFonts w:ascii="Times New Roman" w:eastAsia="仿宋" w:hAnsi="Times New Roman" w:hint="eastAsia"/>
          <w:sz w:val="24"/>
          <w:lang w:eastAsia="zh-CN"/>
        </w:rPr>
        <w:t>、对于因为基金投资产生的应收资产和基金申购过程中产生的应收资产，应由基金管理人负责与有关当事人确定到账日期并通知基金托管人，到账日基金资产没有到达基金银行存款账户的，基金托管人应及时通知基金管理人采取措施进行催收。由此给基金造成损失的，基金管理人应负责向有关当事人追偿基金的损失。基金托管人对此不承担相应责任，但应给予积极的协助。</w:t>
      </w:r>
    </w:p>
    <w:p w14:paraId="1C2C37D7"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（二）基金募集资产的验证</w:t>
      </w:r>
      <w:bookmarkEnd w:id="37"/>
      <w:bookmarkEnd w:id="38"/>
    </w:p>
    <w:p w14:paraId="6767047A" w14:textId="77777777" w:rsidR="00FB20DE" w:rsidRPr="00F47BA9" w:rsidRDefault="00A6695E">
      <w:pPr>
        <w:spacing w:after="0" w:line="360" w:lineRule="auto"/>
        <w:ind w:firstLine="480"/>
        <w:rPr>
          <w:rFonts w:ascii="Times New Roman" w:eastAsia="仿宋" w:hAnsi="Times New Roman"/>
          <w:sz w:val="24"/>
          <w:lang w:eastAsia="zh-CN"/>
        </w:rPr>
      </w:pPr>
      <w:bookmarkStart w:id="39" w:name="_Toc77663000"/>
      <w:bookmarkStart w:id="40" w:name="_Toc37159176"/>
      <w:r w:rsidRPr="00F47BA9">
        <w:rPr>
          <w:rFonts w:ascii="Times New Roman" w:eastAsia="仿宋" w:hAnsi="Times New Roman" w:hint="eastAsia"/>
          <w:sz w:val="24"/>
          <w:lang w:eastAsia="zh-CN"/>
        </w:rPr>
        <w:t>基金募集期满或基金提前结束募集之日起</w:t>
      </w:r>
      <w:r w:rsidRPr="00F47BA9">
        <w:rPr>
          <w:rFonts w:ascii="Times New Roman" w:eastAsia="仿宋" w:hAnsi="Times New Roman"/>
          <w:sz w:val="24"/>
          <w:lang w:eastAsia="zh-CN"/>
        </w:rPr>
        <w:t>10</w:t>
      </w:r>
      <w:r w:rsidRPr="00F47BA9">
        <w:rPr>
          <w:rFonts w:ascii="Times New Roman" w:eastAsia="仿宋" w:hAnsi="Times New Roman" w:hint="eastAsia"/>
          <w:sz w:val="24"/>
          <w:lang w:eastAsia="zh-CN"/>
        </w:rPr>
        <w:t>日内，由基金管理人聘请符合《中华人民共和国证券法》规定的会计师事务所进行验资，出具验资报告，出具的验资报告应由参加验资的</w:t>
      </w:r>
      <w:r w:rsidRPr="00F47BA9">
        <w:rPr>
          <w:rFonts w:ascii="Times New Roman" w:eastAsia="仿宋" w:hAnsi="Times New Roman"/>
          <w:sz w:val="24"/>
          <w:lang w:eastAsia="zh-CN"/>
        </w:rPr>
        <w:t>2</w:t>
      </w:r>
      <w:r w:rsidRPr="00F47BA9">
        <w:rPr>
          <w:rFonts w:ascii="Times New Roman" w:eastAsia="仿宋" w:hAnsi="Times New Roman" w:hint="eastAsia"/>
          <w:sz w:val="24"/>
          <w:lang w:eastAsia="zh-CN"/>
        </w:rPr>
        <w:t>名以上（含</w:t>
      </w:r>
      <w:r w:rsidRPr="00F47BA9">
        <w:rPr>
          <w:rFonts w:ascii="Times New Roman" w:eastAsia="仿宋" w:hAnsi="Times New Roman"/>
          <w:sz w:val="24"/>
          <w:lang w:eastAsia="zh-CN"/>
        </w:rPr>
        <w:t>2</w:t>
      </w:r>
      <w:r w:rsidRPr="00F47BA9">
        <w:rPr>
          <w:rFonts w:ascii="Times New Roman" w:eastAsia="仿宋" w:hAnsi="Times New Roman" w:hint="eastAsia"/>
          <w:sz w:val="24"/>
          <w:lang w:eastAsia="zh-CN"/>
        </w:rPr>
        <w:t>名）中国注册会计师签字有效。验资完成，基金管理人应将募集到的全部资金存入基金托管人为基金开立的基金银行存款账户（即托管账户）中，基金托管人在收到资金当日出具相关证明文件。</w:t>
      </w:r>
    </w:p>
    <w:p w14:paraId="7623A032"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（三）基金的银行存款账户的开立和管理</w:t>
      </w:r>
      <w:bookmarkEnd w:id="39"/>
      <w:bookmarkEnd w:id="40"/>
    </w:p>
    <w:p w14:paraId="4FC5A33C"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、基金托管人应负责本基金银行存款账户（即托管账户）的开立和管理。</w:t>
      </w:r>
    </w:p>
    <w:p w14:paraId="6C142569"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、基金托管人以本基金的名义在其营业机构开立基金的银行存款账户，并根据基金管理人合法合</w:t>
      </w:r>
      <w:proofErr w:type="gramStart"/>
      <w:r w:rsidRPr="00F47BA9">
        <w:rPr>
          <w:rFonts w:ascii="Times New Roman" w:eastAsia="仿宋" w:hAnsi="Times New Roman" w:hint="eastAsia"/>
          <w:sz w:val="24"/>
          <w:lang w:eastAsia="zh-CN"/>
        </w:rPr>
        <w:t>规</w:t>
      </w:r>
      <w:proofErr w:type="gramEnd"/>
      <w:r w:rsidRPr="00F47BA9">
        <w:rPr>
          <w:rFonts w:ascii="Times New Roman" w:eastAsia="仿宋" w:hAnsi="Times New Roman" w:hint="eastAsia"/>
          <w:sz w:val="24"/>
          <w:lang w:eastAsia="zh-CN"/>
        </w:rPr>
        <w:t>的指令办理资金收付。本基金的银行预留印鉴为</w:t>
      </w:r>
      <w:r w:rsidRPr="00F47BA9">
        <w:rPr>
          <w:rFonts w:ascii="Times New Roman" w:eastAsia="仿宋" w:hAnsi="Times New Roman"/>
          <w:sz w:val="24"/>
          <w:lang w:eastAsia="zh-CN"/>
        </w:rPr>
        <w:t>基金财务专用章</w:t>
      </w:r>
      <w:r w:rsidRPr="00F47BA9">
        <w:rPr>
          <w:rFonts w:ascii="Times New Roman" w:eastAsia="仿宋" w:hAnsi="Times New Roman"/>
          <w:sz w:val="24"/>
          <w:lang w:eastAsia="zh-CN"/>
        </w:rPr>
        <w:t>1</w:t>
      </w:r>
      <w:r w:rsidRPr="00F47BA9">
        <w:rPr>
          <w:rFonts w:ascii="Times New Roman" w:eastAsia="仿宋" w:hAnsi="Times New Roman"/>
          <w:sz w:val="24"/>
          <w:lang w:eastAsia="zh-CN"/>
        </w:rPr>
        <w:t>枚及托管人指定印章</w:t>
      </w:r>
      <w:r w:rsidRPr="00F47BA9">
        <w:rPr>
          <w:rFonts w:ascii="Times New Roman" w:eastAsia="仿宋" w:hAnsi="Times New Roman"/>
          <w:sz w:val="24"/>
          <w:lang w:eastAsia="zh-CN"/>
        </w:rPr>
        <w:t>1</w:t>
      </w:r>
      <w:r w:rsidRPr="00F47BA9">
        <w:rPr>
          <w:rFonts w:ascii="Times New Roman" w:eastAsia="仿宋" w:hAnsi="Times New Roman"/>
          <w:sz w:val="24"/>
          <w:lang w:eastAsia="zh-CN"/>
        </w:rPr>
        <w:t>枚，均由托管人预留，相关印章由托管人保管</w:t>
      </w:r>
      <w:r w:rsidRPr="00F47BA9">
        <w:rPr>
          <w:rFonts w:ascii="Times New Roman" w:eastAsia="仿宋" w:hAnsi="Times New Roman" w:hint="eastAsia"/>
          <w:sz w:val="24"/>
          <w:lang w:eastAsia="zh-CN"/>
        </w:rPr>
        <w:t>。本基金的一切货币收支活动，包括但不限于投资、支付赎回金额、收取申购款、支付基金收益，均需通过本基金的银行存款账户进行。基金管理人应当在开户（或变更或撤销）过程中给予必要的配合，并提供所需账户资料。基</w:t>
      </w:r>
      <w:r w:rsidRPr="00F47BA9">
        <w:rPr>
          <w:rFonts w:ascii="Times New Roman" w:eastAsia="仿宋" w:hAnsi="Times New Roman" w:hint="eastAsia"/>
          <w:sz w:val="24"/>
          <w:lang w:eastAsia="zh-CN"/>
        </w:rPr>
        <w:lastRenderedPageBreak/>
        <w:t>金管理人应保证所提供账户资料的真实性、准确性和有效性，并在账户资料发生变更后</w:t>
      </w:r>
      <w:r w:rsidRPr="00F47BA9">
        <w:rPr>
          <w:rFonts w:ascii="Times New Roman" w:eastAsia="仿宋" w:hAnsi="Times New Roman" w:hint="eastAsia"/>
          <w:sz w:val="24"/>
          <w:lang w:eastAsia="zh-CN"/>
        </w:rPr>
        <w:t>5</w:t>
      </w:r>
      <w:r w:rsidRPr="00F47BA9">
        <w:rPr>
          <w:rFonts w:ascii="Times New Roman" w:eastAsia="仿宋" w:hAnsi="Times New Roman" w:hint="eastAsia"/>
          <w:sz w:val="24"/>
          <w:lang w:eastAsia="zh-CN"/>
        </w:rPr>
        <w:t>个工作日内及时向基金托管人提供更新后的账户资料。由于未及时提供更新账户资料导致资金账户未能正常使用的，由基金管理人承担相应责任。基金管理人应在开立托管账户时按照开户银行的要求，根据反洗钱相关规定，提供受益所有人相关信息。</w:t>
      </w:r>
    </w:p>
    <w:p w14:paraId="5BEC2D92"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本基金银行存款账户的开立和使用，限于满足开展本基金业务的需要。该账户不得透支、不得提现、不得通兑、不得购买支付凭证。基金托管人和基金管理人不得假借本基金的名义开立其他任何银行存款账户；亦不得使用基金的任何银行存款账户进行本基金业务以外的活动。</w:t>
      </w:r>
    </w:p>
    <w:p w14:paraId="0E9D20C5"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、基金银行存款账户的管理应符合银行业监督管理机构的有关规定。</w:t>
      </w:r>
      <w:bookmarkStart w:id="41" w:name="_Toc37159177"/>
      <w:bookmarkStart w:id="42" w:name="_Toc77663001"/>
    </w:p>
    <w:p w14:paraId="3CFEDA2B"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（四）基金证券账户、证券交易资金账户的开立和管理</w:t>
      </w:r>
      <w:bookmarkEnd w:id="41"/>
      <w:bookmarkEnd w:id="42"/>
    </w:p>
    <w:p w14:paraId="18046ABB"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基金托管人为本基金在中国证券登记结算有限责任公司开立证券账户。</w:t>
      </w:r>
      <w:r w:rsidRPr="00F47BA9">
        <w:rPr>
          <w:rFonts w:ascii="Times New Roman" w:eastAsia="仿宋" w:hAnsi="Times New Roman"/>
          <w:sz w:val="24"/>
          <w:lang w:eastAsia="zh-CN"/>
        </w:rPr>
        <w:t>基金管理人应当在开户过程中给予必要的配合，并提供所需资料。</w:t>
      </w:r>
    </w:p>
    <w:p w14:paraId="7C7F49DE"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基金证券账户的开立和使用，限于满足开展本基金业务的需要。</w:t>
      </w:r>
      <w:bookmarkStart w:id="43" w:name="_Toc37159179"/>
      <w:bookmarkStart w:id="44" w:name="_Toc77663003"/>
    </w:p>
    <w:p w14:paraId="3A41C3DB"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为基金财产在证券经纪机构开立证券交易资金账户，用于基金财产证券交易结算资金的存管、记载交易结算资金的变动明细以及场内证券交易清算，并与基金托管人开立的托管账户建立第三方存管关系。</w:t>
      </w:r>
    </w:p>
    <w:p w14:paraId="08038C4B"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托管人和基金管理人不得出借或未经对方同意擅自转让基金的任何证券账户、证券交易资金账户，亦不得使用基金的任何证券账户或证券交易资金账户进行本基金业务以外的活动。本基金通过证券经纪机构进行的交易由证券经纪机构作为结算参与人代理本基金进行结算。</w:t>
      </w:r>
    </w:p>
    <w:p w14:paraId="0B29C3A9"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基金管理人不得对基金证券账户、证券交易资金账户进行证券的超卖或超买。基金证券账户资产的管理和运用由基金管理人负责。</w:t>
      </w:r>
    </w:p>
    <w:p w14:paraId="5C43D687"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（五）债券托管账户的开立和管理</w:t>
      </w:r>
    </w:p>
    <w:p w14:paraId="3189D25C"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基金合同生效后，基金管理人负责向中国人民银行进行报备，基金托管人在备案通过后在中央国债登记结算有限责任公司及银行间市场清算所股份有限公司以本基金的名义开立债券托管账户，并由基金托管人负责基金的债券及资金的清算。</w:t>
      </w:r>
      <w:r w:rsidRPr="00F47BA9">
        <w:rPr>
          <w:rFonts w:ascii="Times New Roman" w:eastAsia="仿宋" w:hAnsi="Times New Roman"/>
          <w:sz w:val="24"/>
          <w:lang w:eastAsia="zh-CN"/>
        </w:rPr>
        <w:t>基金管理人应当在开户过程中给予必要的配合，并提供所需资料。</w:t>
      </w:r>
      <w:r w:rsidRPr="00F47BA9">
        <w:rPr>
          <w:rFonts w:ascii="Times New Roman" w:eastAsia="仿宋" w:hAnsi="Times New Roman" w:hint="eastAsia"/>
          <w:sz w:val="24"/>
          <w:lang w:eastAsia="zh-CN"/>
        </w:rPr>
        <w:t>基金管理人负责申请基金进入全国银行间同业拆借市场进行交易，由基金管理人在中国外汇交易中心开设同业拆借市场交易账户。</w:t>
      </w:r>
    </w:p>
    <w:p w14:paraId="0F57DAAF"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lastRenderedPageBreak/>
        <w:t>2</w:t>
      </w:r>
      <w:r w:rsidRPr="00F47BA9">
        <w:rPr>
          <w:rFonts w:ascii="Times New Roman" w:eastAsia="仿宋" w:hAnsi="Times New Roman" w:hint="eastAsia"/>
          <w:sz w:val="24"/>
          <w:lang w:eastAsia="zh-CN"/>
        </w:rPr>
        <w:t>、基金管理人代表基金签订全国银行间债券市场债券回购主协议，协议正本由基金管理人保存。</w:t>
      </w:r>
    </w:p>
    <w:p w14:paraId="386D1516"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（六）期货账户的开设和管理</w:t>
      </w:r>
    </w:p>
    <w:p w14:paraId="4BCEB89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基金管理人应当按照相关规定开立期货资金账户，在中国金融期货交易所获取交易编码。期货资金账户名称及交易编码对应名称应按照有关规定设立。</w:t>
      </w:r>
    </w:p>
    <w:p w14:paraId="548C839F"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基金管理人授权基金托管人办理</w:t>
      </w:r>
      <w:proofErr w:type="gramStart"/>
      <w:r w:rsidRPr="00F47BA9">
        <w:rPr>
          <w:rFonts w:ascii="Times New Roman" w:eastAsia="仿宋" w:hAnsi="Times New Roman" w:hint="eastAsia"/>
          <w:sz w:val="24"/>
          <w:lang w:eastAsia="zh-CN"/>
        </w:rPr>
        <w:t>相关银期转账</w:t>
      </w:r>
      <w:proofErr w:type="gramEnd"/>
      <w:r w:rsidRPr="00F47BA9">
        <w:rPr>
          <w:rFonts w:ascii="Times New Roman" w:eastAsia="仿宋" w:hAnsi="Times New Roman" w:hint="eastAsia"/>
          <w:sz w:val="24"/>
          <w:lang w:eastAsia="zh-CN"/>
        </w:rPr>
        <w:t>业务。</w:t>
      </w:r>
    </w:p>
    <w:p w14:paraId="2DA253E3"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（七）基金投资银行存款账户的开立和管理</w:t>
      </w:r>
    </w:p>
    <w:p w14:paraId="4778FF3C" w14:textId="610FAD4A" w:rsidR="00FB20DE" w:rsidRPr="00F47BA9" w:rsidRDefault="009F0A35">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存款账户必须以基金名义开立，存款账户的预留印鉴</w:t>
      </w:r>
      <w:proofErr w:type="gramStart"/>
      <w:r w:rsidRPr="00F47BA9">
        <w:rPr>
          <w:rFonts w:ascii="Times New Roman" w:eastAsia="仿宋" w:hAnsi="Times New Roman" w:hint="eastAsia"/>
          <w:sz w:val="24"/>
          <w:lang w:eastAsia="zh-CN"/>
        </w:rPr>
        <w:t>须包括</w:t>
      </w:r>
      <w:proofErr w:type="gramEnd"/>
      <w:r w:rsidRPr="00F47BA9">
        <w:rPr>
          <w:rFonts w:ascii="Times New Roman" w:eastAsia="仿宋" w:hAnsi="Times New Roman" w:hint="eastAsia"/>
          <w:sz w:val="24"/>
          <w:lang w:eastAsia="zh-CN"/>
        </w:rPr>
        <w:t>托管人印章及基金管理人公章。</w:t>
      </w:r>
    </w:p>
    <w:p w14:paraId="07E47D7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本基金投资银行存款时，基金管理人应当与存款银行签订具体存款协议或存款确认单据，明确存款的类型、期限、利率、金额、账号、对账方式、支取方式、存款到期指定收款账户等细则。</w:t>
      </w:r>
    </w:p>
    <w:p w14:paraId="63AECBF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为防范特殊情况下的流动性风险，定期存款协议中应当约定提前支取条款。</w:t>
      </w:r>
    </w:p>
    <w:p w14:paraId="43D3E5B3"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（八）其他账户的开立和管理</w:t>
      </w:r>
    </w:p>
    <w:p w14:paraId="331FE07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若中国证监会或其他监管机构在本协议订立日之后允许基金从事其他投资品种的投资业务，涉及相关账户的开立、使用的，由基金管理人协助基金托管人根据有关法律法规的规定和《基金合同》的约定，开立有关账户。该账户按有关规则使用并管理。</w:t>
      </w:r>
    </w:p>
    <w:p w14:paraId="68F3FACB"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（九）基金财产投资的银行存款定期存单等有价凭证的保管</w:t>
      </w:r>
      <w:bookmarkEnd w:id="43"/>
      <w:bookmarkEnd w:id="44"/>
    </w:p>
    <w:p w14:paraId="72E92059"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银行存款定期存单等有价凭证由基金托管人负责保管。</w:t>
      </w:r>
    </w:p>
    <w:p w14:paraId="748AF80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基金托管人只负责对存款证实书进行保管，不负责对存款证实书真伪的辨别，不承担存款证实书对应存款的本金及收益的安全保管责任。</w:t>
      </w:r>
    </w:p>
    <w:p w14:paraId="125A34EF" w14:textId="77777777" w:rsidR="00FB20DE" w:rsidRPr="00F47BA9" w:rsidRDefault="00A6695E">
      <w:pPr>
        <w:spacing w:after="0" w:line="360" w:lineRule="auto"/>
        <w:ind w:firstLine="480"/>
        <w:rPr>
          <w:rFonts w:ascii="Times New Roman" w:eastAsia="仿宋" w:hAnsi="Times New Roman"/>
          <w:sz w:val="24"/>
          <w:lang w:eastAsia="zh-CN"/>
        </w:rPr>
      </w:pPr>
      <w:bookmarkStart w:id="45" w:name="_Toc77663004"/>
      <w:bookmarkStart w:id="46" w:name="_Toc37159180"/>
      <w:r w:rsidRPr="00F47BA9">
        <w:rPr>
          <w:rFonts w:ascii="Times New Roman" w:eastAsia="仿宋" w:hAnsi="Times New Roman" w:hint="eastAsia"/>
          <w:sz w:val="24"/>
          <w:lang w:eastAsia="zh-CN"/>
        </w:rPr>
        <w:t>（十）与基金财产有关的重大合同的保管</w:t>
      </w:r>
      <w:bookmarkEnd w:id="45"/>
      <w:bookmarkEnd w:id="46"/>
    </w:p>
    <w:p w14:paraId="29AD6933"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由基金管理人代表基金签署的与基金有关的重大合同的原件分别由基金托管人、基金管理人保管，相关业务程序另有限制除外。除本协议另有规定外，基金管理人在代表基金签署与基金有关的重大合同时应尽可能保证持有二份以上的正本，以便基金管理人和基金托管人至少各持有一份正本的原件，基金管理人应及时将正本送达基金托管人处。合同的保管期限不低于法律法规或监管机关规定的最低期限。</w:t>
      </w:r>
    </w:p>
    <w:p w14:paraId="7CA9A217" w14:textId="77777777" w:rsidR="00FB20DE" w:rsidRPr="00F47BA9" w:rsidRDefault="00A6695E">
      <w:pPr>
        <w:spacing w:after="0" w:line="360" w:lineRule="auto"/>
        <w:ind w:firstLine="480"/>
        <w:rPr>
          <w:rFonts w:ascii="Times New Roman" w:eastAsia="仿宋" w:hAnsi="Times New Roman"/>
          <w:sz w:val="24"/>
          <w:lang w:eastAsia="zh-CN"/>
        </w:rPr>
      </w:pPr>
      <w:bookmarkStart w:id="47" w:name="_Toc466788855"/>
      <w:bookmarkStart w:id="48" w:name="_Toc523829996"/>
      <w:bookmarkStart w:id="49" w:name="_Toc125892442"/>
      <w:r w:rsidRPr="00F47BA9">
        <w:rPr>
          <w:rFonts w:ascii="Times New Roman" w:eastAsia="仿宋" w:hAnsi="Times New Roman" w:hint="eastAsia"/>
          <w:sz w:val="24"/>
          <w:lang w:eastAsia="zh-CN"/>
        </w:rPr>
        <w:t>对于无法取得二份以上的正本的，基金管理人应向基金托管人提供加盖公</w:t>
      </w:r>
      <w:r w:rsidRPr="00F47BA9">
        <w:rPr>
          <w:rFonts w:ascii="Times New Roman" w:eastAsia="仿宋" w:hAnsi="Times New Roman" w:hint="eastAsia"/>
          <w:sz w:val="24"/>
          <w:lang w:eastAsia="zh-CN"/>
        </w:rPr>
        <w:lastRenderedPageBreak/>
        <w:t>章或授权业务章的合同传真件，未经双方协商或未在合同约定范围内，原则上合同原件不得转移。</w:t>
      </w:r>
    </w:p>
    <w:p w14:paraId="12BC4106" w14:textId="77777777" w:rsidR="00FB20DE" w:rsidRPr="00F47BA9" w:rsidRDefault="00A6695E">
      <w:pPr>
        <w:pStyle w:val="1"/>
        <w:pageBreakBefore/>
        <w:jc w:val="center"/>
        <w:rPr>
          <w:rFonts w:ascii="Times New Roman" w:eastAsia="仿宋" w:hAnsi="Times New Roman"/>
          <w:color w:val="auto"/>
          <w:lang w:eastAsia="zh-CN"/>
        </w:rPr>
      </w:pPr>
      <w:bookmarkStart w:id="50" w:name="_Toc121842071"/>
      <w:r w:rsidRPr="00F47BA9">
        <w:rPr>
          <w:rFonts w:ascii="Times New Roman" w:eastAsia="仿宋" w:hAnsi="Times New Roman" w:hint="eastAsia"/>
          <w:color w:val="auto"/>
          <w:lang w:eastAsia="zh-CN"/>
        </w:rPr>
        <w:lastRenderedPageBreak/>
        <w:t>六、指令的发送、确认和执行</w:t>
      </w:r>
      <w:bookmarkEnd w:id="47"/>
      <w:bookmarkEnd w:id="48"/>
      <w:bookmarkEnd w:id="49"/>
      <w:bookmarkEnd w:id="50"/>
    </w:p>
    <w:p w14:paraId="5B172F9C" w14:textId="77777777" w:rsidR="00FB20DE" w:rsidRPr="00F47BA9" w:rsidRDefault="00A6695E">
      <w:pPr>
        <w:spacing w:after="0" w:line="360" w:lineRule="auto"/>
        <w:ind w:firstLine="480"/>
        <w:rPr>
          <w:rFonts w:ascii="Times New Roman" w:eastAsia="仿宋" w:hAnsi="Times New Roman"/>
          <w:sz w:val="24"/>
          <w:lang w:eastAsia="zh-CN"/>
        </w:rPr>
      </w:pPr>
      <w:bookmarkStart w:id="51" w:name="_Toc77663006"/>
      <w:r w:rsidRPr="00F47BA9">
        <w:rPr>
          <w:rFonts w:ascii="Times New Roman" w:eastAsia="仿宋" w:hAnsi="Times New Roman" w:hint="eastAsia"/>
          <w:sz w:val="24"/>
          <w:lang w:eastAsia="zh-CN"/>
        </w:rPr>
        <w:t>（一）基金管理人对发送指令人员的书面授权</w:t>
      </w:r>
      <w:bookmarkEnd w:id="51"/>
    </w:p>
    <w:p w14:paraId="238A68D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应事先书面通知（以下称“授权通知”）基金托管人有权发送指令的人员（以下简称“被授权人”）名单、签字样本、预留印鉴和启用日期，注明相应的权限。基金管理人向基金托管人发出的授权通知应加盖公章。基金管理人发出授权通知后，以电话形式或双方认可的其他形式向基金托管人确认，授权通知自其上面注明的启用日期开始生效，在此后三个工作日内基金管理人应将授权通知的正本送交基金托管人。</w:t>
      </w:r>
    </w:p>
    <w:p w14:paraId="0FE59D10"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基金托管人收到授权通知后，将签字和印鉴与预留样本核对无误后，应在收到授权通知当日以电话或双方认可的其他形式向基金管理人确认。</w:t>
      </w:r>
    </w:p>
    <w:p w14:paraId="76C719D1"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基金管理人和基金托管人对授权文件负有保密义务，其内容不得向被授权人及相关操作人员以外的任何人泄露，法律法规另有规定或有权机关另有要求的除外。</w:t>
      </w:r>
      <w:bookmarkStart w:id="52" w:name="_Toc77663007"/>
    </w:p>
    <w:p w14:paraId="4F36712B"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（二）指令的内容</w:t>
      </w:r>
      <w:bookmarkEnd w:id="52"/>
    </w:p>
    <w:p w14:paraId="76A05D67"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指令是基金管理人在运用基金资产时，向基金托管人发出的资金划拨及其他款项收付的指令。</w:t>
      </w:r>
      <w:bookmarkStart w:id="53" w:name="_Toc77663008"/>
      <w:r w:rsidRPr="00F47BA9">
        <w:rPr>
          <w:rFonts w:ascii="Times New Roman" w:eastAsia="仿宋" w:hAnsi="Times New Roman" w:hint="eastAsia"/>
          <w:sz w:val="24"/>
          <w:lang w:eastAsia="zh-CN"/>
        </w:rPr>
        <w:t>指令应写明款项事由、支付时间、到账时间、金额、账户等执行支付所需内容，加盖预留印鉴。</w:t>
      </w:r>
    </w:p>
    <w:p w14:paraId="012C3002"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（三）指令的发送、确认和执行</w:t>
      </w:r>
      <w:bookmarkEnd w:id="53"/>
      <w:r w:rsidRPr="00F47BA9">
        <w:rPr>
          <w:rFonts w:ascii="Times New Roman" w:eastAsia="仿宋" w:hAnsi="Times New Roman" w:hint="eastAsia"/>
          <w:sz w:val="24"/>
          <w:lang w:eastAsia="zh-CN"/>
        </w:rPr>
        <w:t>的时间和程序</w:t>
      </w:r>
    </w:p>
    <w:p w14:paraId="173A6C4F"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应按照《基金法》及其他有关法规、《基金合同》和本协议的规定，在其合法的经营权限和交易权限内发送指令，被授权人应按照其授权权限发送指令。指令由“授权通知”确定的被授权人代表基金管理人用电子直连或传真或双方认可的其他方式向基金托管人发送。基金托管人采用邮箱白名单方式控制指令接收风险。基金管理人应向基金托管人出具往来邮箱授权函（已出具统一授权函的除外），通过授权函指定的邮箱向基金托管人发送指令，未通过约定的邮箱发送的指令，基金托管人有权拒绝执行。如基金管理人需变更联系人及邮箱，需提前</w:t>
      </w: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个工作日向基金托管人提供新的联系人信息并加盖预留印鉴，为基金托管人履行变更程序预留足够时间。发送后基金管理人及时通过电话与基金托管人确认指令内容。基金管理人必须在</w:t>
      </w:r>
      <w:r w:rsidRPr="00F47BA9">
        <w:rPr>
          <w:rFonts w:ascii="Times New Roman" w:eastAsia="仿宋" w:hAnsi="Times New Roman"/>
          <w:sz w:val="24"/>
          <w:lang w:eastAsia="zh-CN"/>
        </w:rPr>
        <w:t>15</w:t>
      </w:r>
      <w:r w:rsidRPr="00F47BA9">
        <w:rPr>
          <w:rFonts w:ascii="Times New Roman" w:eastAsia="仿宋" w:hAnsi="Times New Roman" w:hint="eastAsia"/>
          <w:sz w:val="24"/>
          <w:lang w:eastAsia="zh-CN"/>
        </w:rPr>
        <w:t>：</w:t>
      </w:r>
      <w:r w:rsidRPr="00F47BA9">
        <w:rPr>
          <w:rFonts w:ascii="Times New Roman" w:eastAsia="仿宋" w:hAnsi="Times New Roman"/>
          <w:sz w:val="24"/>
          <w:lang w:eastAsia="zh-CN"/>
        </w:rPr>
        <w:t>00</w:t>
      </w:r>
      <w:r w:rsidRPr="00F47BA9">
        <w:rPr>
          <w:rFonts w:ascii="Times New Roman" w:eastAsia="仿宋" w:hAnsi="Times New Roman" w:hint="eastAsia"/>
          <w:sz w:val="24"/>
          <w:lang w:eastAsia="zh-CN"/>
        </w:rPr>
        <w:t>之前向基金托管人发送付款指令并确保基金银行账户有足够的资金余额，</w:t>
      </w:r>
      <w:r w:rsidRPr="00F47BA9">
        <w:rPr>
          <w:rFonts w:ascii="Times New Roman" w:eastAsia="仿宋" w:hAnsi="Times New Roman"/>
          <w:sz w:val="24"/>
          <w:lang w:eastAsia="zh-CN"/>
        </w:rPr>
        <w:t>15</w:t>
      </w:r>
      <w:r w:rsidRPr="00F47BA9">
        <w:rPr>
          <w:rFonts w:ascii="Times New Roman" w:eastAsia="仿宋" w:hAnsi="Times New Roman" w:hint="eastAsia"/>
          <w:sz w:val="24"/>
          <w:lang w:eastAsia="zh-CN"/>
        </w:rPr>
        <w:t>：</w:t>
      </w:r>
      <w:r w:rsidRPr="00F47BA9">
        <w:rPr>
          <w:rFonts w:ascii="Times New Roman" w:eastAsia="仿宋" w:hAnsi="Times New Roman"/>
          <w:sz w:val="24"/>
          <w:lang w:eastAsia="zh-CN"/>
        </w:rPr>
        <w:t>00</w:t>
      </w:r>
      <w:r w:rsidRPr="00F47BA9">
        <w:rPr>
          <w:rFonts w:ascii="Times New Roman" w:eastAsia="仿宋" w:hAnsi="Times New Roman" w:hint="eastAsia"/>
          <w:sz w:val="24"/>
          <w:lang w:eastAsia="zh-CN"/>
        </w:rPr>
        <w:t>之后发送付款</w:t>
      </w:r>
      <w:r w:rsidRPr="00F47BA9">
        <w:rPr>
          <w:rFonts w:ascii="Times New Roman" w:eastAsia="仿宋" w:hAnsi="Times New Roman" w:hint="eastAsia"/>
          <w:sz w:val="24"/>
          <w:lang w:eastAsia="zh-CN"/>
        </w:rPr>
        <w:lastRenderedPageBreak/>
        <w:t>指令或截至</w:t>
      </w:r>
      <w:r w:rsidRPr="00F47BA9">
        <w:rPr>
          <w:rFonts w:ascii="Times New Roman" w:eastAsia="仿宋" w:hAnsi="Times New Roman"/>
          <w:sz w:val="24"/>
          <w:lang w:eastAsia="zh-CN"/>
        </w:rPr>
        <w:t>15</w:t>
      </w:r>
      <w:r w:rsidRPr="00F47BA9">
        <w:rPr>
          <w:rFonts w:ascii="Times New Roman" w:eastAsia="仿宋" w:hAnsi="Times New Roman" w:hint="eastAsia"/>
          <w:sz w:val="24"/>
          <w:lang w:eastAsia="zh-CN"/>
        </w:rPr>
        <w:t>：</w:t>
      </w:r>
      <w:r w:rsidRPr="00F47BA9">
        <w:rPr>
          <w:rFonts w:ascii="Times New Roman" w:eastAsia="仿宋" w:hAnsi="Times New Roman"/>
          <w:sz w:val="24"/>
          <w:lang w:eastAsia="zh-CN"/>
        </w:rPr>
        <w:t>00</w:t>
      </w:r>
      <w:r w:rsidRPr="00F47BA9">
        <w:rPr>
          <w:rFonts w:ascii="Times New Roman" w:eastAsia="仿宋" w:hAnsi="Times New Roman" w:hint="eastAsia"/>
          <w:sz w:val="24"/>
          <w:lang w:eastAsia="zh-CN"/>
        </w:rPr>
        <w:t>账户资金不足的，基金托管人不能保证在当日完成划付，但应尽力执行。对基金管理人在基金托管人执行时没有充足资金的情况下向基金托管人发出的指令，基金托管人可不予执行，并立即通知基金管理人，基金托管人不承担因为不执行该指令而造成损失的责任。如基金管理人要求当天某一时点到账，必须至少提前</w:t>
      </w:r>
      <w:r w:rsidRPr="00F47BA9">
        <w:rPr>
          <w:rFonts w:ascii="Times New Roman" w:eastAsia="仿宋" w:hAnsi="Times New Roman"/>
          <w:sz w:val="24"/>
          <w:lang w:eastAsia="zh-CN"/>
        </w:rPr>
        <w:t>2</w:t>
      </w:r>
      <w:r w:rsidRPr="00F47BA9">
        <w:rPr>
          <w:rFonts w:ascii="Times New Roman" w:eastAsia="仿宋" w:hAnsi="Times New Roman" w:hint="eastAsia"/>
          <w:sz w:val="24"/>
          <w:lang w:eastAsia="zh-CN"/>
        </w:rPr>
        <w:t>小时向基金托管人发送付款指令并与基金托管人电话确认。基金管理人指令传输不及时或账户资金不足，未能留出足够的执行时间，致使指令未能及时执行的，基金托管人不承担由此导致的损失。基金管理人应将银行间市场成交单加盖预留印鉴后传真给基金托管人，</w:t>
      </w:r>
      <w:proofErr w:type="gramStart"/>
      <w:r w:rsidRPr="00F47BA9">
        <w:rPr>
          <w:rFonts w:ascii="Times New Roman" w:eastAsia="仿宋" w:hAnsi="Times New Roman" w:hint="eastAsia"/>
          <w:sz w:val="24"/>
          <w:lang w:eastAsia="zh-CN"/>
        </w:rPr>
        <w:t>若基金</w:t>
      </w:r>
      <w:proofErr w:type="gramEnd"/>
      <w:r w:rsidRPr="00F47BA9">
        <w:rPr>
          <w:rFonts w:ascii="Times New Roman" w:eastAsia="仿宋" w:hAnsi="Times New Roman" w:hint="eastAsia"/>
          <w:sz w:val="24"/>
          <w:lang w:eastAsia="zh-CN"/>
        </w:rPr>
        <w:t>管理人向基金托管人出具无需银行间市场成交单的授权书后，无需执行该要求。对于被授权人发出的合法合</w:t>
      </w:r>
      <w:proofErr w:type="gramStart"/>
      <w:r w:rsidRPr="00F47BA9">
        <w:rPr>
          <w:rFonts w:ascii="Times New Roman" w:eastAsia="仿宋" w:hAnsi="Times New Roman" w:hint="eastAsia"/>
          <w:sz w:val="24"/>
          <w:lang w:eastAsia="zh-CN"/>
        </w:rPr>
        <w:t>规</w:t>
      </w:r>
      <w:proofErr w:type="gramEnd"/>
      <w:r w:rsidRPr="00F47BA9">
        <w:rPr>
          <w:rFonts w:ascii="Times New Roman" w:eastAsia="仿宋" w:hAnsi="Times New Roman" w:hint="eastAsia"/>
          <w:sz w:val="24"/>
          <w:lang w:eastAsia="zh-CN"/>
        </w:rPr>
        <w:t>的指令，基金管理人不得否认其效力。基金托管人依照“授权通知”规定的方法确认指令的有效后，方可执行指令。指令执行完毕后，基金托管人应及时通知基金管理人。基金托管人仅根据基金管理人的授权文件对指令进行表面相符性的形式审查，对其真实性不承担责任。</w:t>
      </w:r>
    </w:p>
    <w:p w14:paraId="3759D34A"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（四）基金管理人发送错误指令的情形和处理程序</w:t>
      </w:r>
    </w:p>
    <w:p w14:paraId="0C0B92E4"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发送错误指令的情形包括指令发送人员无权或超越权限发送指令及交割信息错误，指令中重要信息模糊不清或不全等。基金托管人在履行监督职能时，发现基金管理人的指令错误时，有权视情况暂缓或拒绝执行，并及时通知基金管理人改正。</w:t>
      </w:r>
    </w:p>
    <w:p w14:paraId="330EFE42"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（五）基金托管人依照法律法规暂缓、拒绝执行指令的情形和处理程序</w:t>
      </w:r>
    </w:p>
    <w:p w14:paraId="613D041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托管人在对基金投资指令进行审核时，如发现基金管理人的投资指令违反有关基金的法律法规、《基金合同》、本协议的规定，如交易未生效，则不予执行并立即通知基金管理人；如交易已生效，则以书面形式通知基金管理人限期纠正。基金管理人收到通知后应及时核对，并以约定形式向基金托管人反馈，由此造成的损失由基金管理人承担。</w:t>
      </w:r>
    </w:p>
    <w:p w14:paraId="7CD3BA14"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托管人在对基金投资指令进行审核时，如发现投资指令有可能违反法律法规、《基金合同》、本协议的规定，应视情况暂缓执行指令，并立即通知基金管理人改正。如果基金管理人拒不改正，基金托管人有权向中国证监会报告。</w:t>
      </w:r>
    </w:p>
    <w:p w14:paraId="6196808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（六）基金托管人未按照基金管理人指令执行的处理方法</w:t>
      </w:r>
    </w:p>
    <w:p w14:paraId="65CDD791"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基金托管人由于自身原因造成未按照基金管理人发送的合法合</w:t>
      </w:r>
      <w:proofErr w:type="gramStart"/>
      <w:r w:rsidRPr="00F47BA9">
        <w:rPr>
          <w:rFonts w:ascii="Times New Roman" w:eastAsia="仿宋" w:hAnsi="Times New Roman" w:hint="eastAsia"/>
          <w:sz w:val="24"/>
          <w:lang w:eastAsia="zh-CN"/>
        </w:rPr>
        <w:t>规</w:t>
      </w:r>
      <w:proofErr w:type="gramEnd"/>
      <w:r w:rsidRPr="00F47BA9">
        <w:rPr>
          <w:rFonts w:ascii="Times New Roman" w:eastAsia="仿宋" w:hAnsi="Times New Roman" w:hint="eastAsia"/>
          <w:sz w:val="24"/>
          <w:lang w:eastAsia="zh-CN"/>
        </w:rPr>
        <w:t>指令执行，</w:t>
      </w:r>
      <w:r w:rsidRPr="00F47BA9">
        <w:rPr>
          <w:rFonts w:ascii="Times New Roman" w:eastAsia="仿宋" w:hAnsi="Times New Roman" w:hint="eastAsia"/>
          <w:sz w:val="24"/>
          <w:lang w:eastAsia="zh-CN"/>
        </w:rPr>
        <w:lastRenderedPageBreak/>
        <w:t>应在发现后及时采取措施予以弥补，给基金份额持有人、基金管理人造成损失的，对由此造成的直接经济损失负赔偿责任。</w:t>
      </w:r>
      <w:bookmarkStart w:id="54" w:name="_Toc77663009"/>
    </w:p>
    <w:p w14:paraId="24D3C0A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（七）被授权人</w:t>
      </w:r>
      <w:bookmarkEnd w:id="54"/>
      <w:r w:rsidRPr="00F47BA9">
        <w:rPr>
          <w:rFonts w:ascii="Times New Roman" w:eastAsia="仿宋" w:hAnsi="Times New Roman" w:hint="eastAsia"/>
          <w:sz w:val="24"/>
          <w:lang w:eastAsia="zh-CN"/>
        </w:rPr>
        <w:t>的更换</w:t>
      </w:r>
    </w:p>
    <w:p w14:paraId="6A936F02" w14:textId="56D1BF7D"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基金管理人撤换被授权人或改变被授权人的权限，</w:t>
      </w:r>
      <w:r w:rsidR="005B120B" w:rsidRPr="00F47BA9">
        <w:rPr>
          <w:rFonts w:ascii="Times New Roman" w:eastAsia="仿宋" w:hAnsi="Times New Roman" w:hint="eastAsia"/>
          <w:sz w:val="24"/>
          <w:lang w:eastAsia="zh-CN"/>
        </w:rPr>
        <w:t>必须提前至少一个工作日</w:t>
      </w:r>
      <w:r w:rsidRPr="00F47BA9">
        <w:rPr>
          <w:rFonts w:ascii="Times New Roman" w:eastAsia="仿宋" w:hAnsi="Times New Roman" w:hint="eastAsia"/>
          <w:sz w:val="24"/>
          <w:lang w:eastAsia="zh-CN"/>
        </w:rPr>
        <w:t>，使用传真或以双方约定的其他方式向基金托管人发出加盖公章的被授权人变更通知，注明启用日期，同时电话通知基金托管人。被授权人变更通知自其上面注明的启用日期起开始生效。基金管理人对授权通知的内容的</w:t>
      </w:r>
      <w:proofErr w:type="gramStart"/>
      <w:r w:rsidRPr="00F47BA9">
        <w:rPr>
          <w:rFonts w:ascii="Times New Roman" w:eastAsia="仿宋" w:hAnsi="Times New Roman" w:hint="eastAsia"/>
          <w:sz w:val="24"/>
          <w:lang w:eastAsia="zh-CN"/>
        </w:rPr>
        <w:t>修改自</w:t>
      </w:r>
      <w:proofErr w:type="gramEnd"/>
      <w:r w:rsidRPr="00F47BA9">
        <w:rPr>
          <w:rFonts w:ascii="Times New Roman" w:eastAsia="仿宋" w:hAnsi="Times New Roman" w:hint="eastAsia"/>
          <w:sz w:val="24"/>
          <w:lang w:eastAsia="zh-CN"/>
        </w:rPr>
        <w:t>启用日期起生效。基金管理人在此后三个工作日内将被授权人变更通知的正本送交基金托管人。</w:t>
      </w:r>
    </w:p>
    <w:p w14:paraId="3516887A"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如果基金管理人已经撤销或更改对指令发送人员的授权，并且书面通知基金托管人，则对于在变更通知的启用日期后该指令发送人员无权发送的指令，或超权限发送的指令，基金管理人不承担责任。</w:t>
      </w:r>
    </w:p>
    <w:p w14:paraId="3C7E879D" w14:textId="77777777" w:rsidR="00FB20DE" w:rsidRPr="00F47BA9" w:rsidRDefault="00A6695E">
      <w:pPr>
        <w:pStyle w:val="1"/>
        <w:pageBreakBefore/>
        <w:jc w:val="center"/>
        <w:rPr>
          <w:rFonts w:ascii="Times New Roman" w:eastAsia="仿宋" w:hAnsi="Times New Roman"/>
          <w:color w:val="auto"/>
          <w:lang w:eastAsia="zh-CN"/>
        </w:rPr>
      </w:pPr>
      <w:bookmarkStart w:id="55" w:name="_Toc523829997"/>
      <w:bookmarkStart w:id="56" w:name="_Toc466788856"/>
      <w:bookmarkStart w:id="57" w:name="_Toc121842072"/>
      <w:bookmarkStart w:id="58" w:name="_Toc125892443"/>
      <w:bookmarkStart w:id="59" w:name="_Toc22454451"/>
      <w:r w:rsidRPr="00F47BA9">
        <w:rPr>
          <w:rFonts w:ascii="Times New Roman" w:eastAsia="仿宋" w:hAnsi="Times New Roman" w:hint="eastAsia"/>
          <w:color w:val="auto"/>
          <w:lang w:eastAsia="zh-CN"/>
        </w:rPr>
        <w:lastRenderedPageBreak/>
        <w:t>七、交易及清算交收安排</w:t>
      </w:r>
      <w:bookmarkEnd w:id="55"/>
      <w:bookmarkEnd w:id="56"/>
      <w:bookmarkEnd w:id="57"/>
      <w:bookmarkEnd w:id="58"/>
      <w:bookmarkEnd w:id="59"/>
    </w:p>
    <w:p w14:paraId="5D255CF6" w14:textId="77777777" w:rsidR="00FB20DE" w:rsidRPr="00F47BA9" w:rsidRDefault="00A6695E">
      <w:pPr>
        <w:spacing w:after="0" w:line="360" w:lineRule="auto"/>
        <w:ind w:firstLine="480"/>
        <w:rPr>
          <w:rFonts w:ascii="Times New Roman" w:eastAsia="仿宋" w:hAnsi="Times New Roman"/>
          <w:sz w:val="24"/>
          <w:lang w:eastAsia="zh-CN"/>
        </w:rPr>
      </w:pPr>
      <w:bookmarkStart w:id="60" w:name="_Toc77663011"/>
      <w:bookmarkStart w:id="61" w:name="_Toc22454452"/>
      <w:r w:rsidRPr="00F47BA9">
        <w:rPr>
          <w:rFonts w:ascii="Times New Roman" w:eastAsia="仿宋" w:hAnsi="Times New Roman" w:hint="eastAsia"/>
          <w:sz w:val="24"/>
          <w:lang w:eastAsia="zh-CN"/>
        </w:rPr>
        <w:t>（一）选择代理证券、期货买卖的证券、期货经</w:t>
      </w:r>
      <w:r w:rsidRPr="00F47BA9">
        <w:rPr>
          <w:rFonts w:ascii="Times New Roman" w:eastAsia="仿宋" w:hAnsi="Times New Roman"/>
          <w:sz w:val="24"/>
          <w:lang w:eastAsia="zh-CN"/>
        </w:rPr>
        <w:t>纪</w:t>
      </w:r>
      <w:r w:rsidRPr="00F47BA9">
        <w:rPr>
          <w:rFonts w:ascii="Times New Roman" w:eastAsia="仿宋" w:hAnsi="Times New Roman" w:hint="eastAsia"/>
          <w:sz w:val="24"/>
          <w:lang w:eastAsia="zh-CN"/>
        </w:rPr>
        <w:t>机构的标准和程序</w:t>
      </w:r>
      <w:bookmarkEnd w:id="60"/>
      <w:bookmarkEnd w:id="61"/>
    </w:p>
    <w:p w14:paraId="7D6C3BC7"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基金管理人负责选择代理本基金证券买卖的证券经纪机构，由基金管理人与基金托管人及证券经纪机构签订本基金的证券经纪服务协议。</w:t>
      </w:r>
    </w:p>
    <w:p w14:paraId="3C3E4F82"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基金管理人应制</w:t>
      </w:r>
      <w:proofErr w:type="gramStart"/>
      <w:r w:rsidRPr="00F47BA9">
        <w:rPr>
          <w:rFonts w:ascii="Times New Roman" w:eastAsia="仿宋" w:hAnsi="Times New Roman" w:hint="eastAsia"/>
          <w:sz w:val="24"/>
          <w:lang w:eastAsia="zh-CN"/>
        </w:rPr>
        <w:t>定选择</w:t>
      </w:r>
      <w:proofErr w:type="gramEnd"/>
      <w:r w:rsidRPr="00F47BA9">
        <w:rPr>
          <w:rFonts w:ascii="Times New Roman" w:eastAsia="仿宋" w:hAnsi="Times New Roman" w:hint="eastAsia"/>
          <w:sz w:val="24"/>
          <w:lang w:eastAsia="zh-CN"/>
        </w:rPr>
        <w:t>的标准和程序，并负责根据相关标准以及内部管理制度对有关证券经纪机构进行考察后确定代理本基金证券买卖证券经纪机构，并承担相应责任。</w:t>
      </w:r>
    </w:p>
    <w:p w14:paraId="3D7CFEC6"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基金管理人负责选择代理本基金期货交易的期货经纪机构，并与其签订期货经纪合同，其他事宜根据法律法规、基金合同的相关规定执行，若无明确规定的，可参照有关证券买卖、证券经纪机构选择的规则执行。</w:t>
      </w:r>
    </w:p>
    <w:p w14:paraId="7F46D5E1" w14:textId="77777777" w:rsidR="00FB20DE" w:rsidRPr="00F47BA9" w:rsidRDefault="00A6695E">
      <w:pPr>
        <w:spacing w:after="0" w:line="360" w:lineRule="auto"/>
        <w:ind w:firstLine="480"/>
        <w:rPr>
          <w:rFonts w:ascii="Times New Roman" w:eastAsia="仿宋" w:hAnsi="Times New Roman"/>
          <w:sz w:val="24"/>
          <w:lang w:eastAsia="zh-CN"/>
        </w:rPr>
      </w:pPr>
      <w:bookmarkStart w:id="62" w:name="_Toc77663012"/>
      <w:r w:rsidRPr="00F47BA9">
        <w:rPr>
          <w:rFonts w:ascii="Times New Roman" w:eastAsia="仿宋" w:hAnsi="Times New Roman" w:hint="eastAsia"/>
          <w:sz w:val="24"/>
          <w:lang w:eastAsia="zh-CN"/>
        </w:rPr>
        <w:t>（二）基金投资证券后的清算</w:t>
      </w:r>
      <w:bookmarkEnd w:id="62"/>
      <w:r w:rsidRPr="00F47BA9">
        <w:rPr>
          <w:rFonts w:ascii="Times New Roman" w:eastAsia="仿宋" w:hAnsi="Times New Roman" w:hint="eastAsia"/>
          <w:sz w:val="24"/>
          <w:lang w:eastAsia="zh-CN"/>
        </w:rPr>
        <w:t>交收安排</w:t>
      </w:r>
    </w:p>
    <w:p w14:paraId="5B8824C7"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基金通过证券经纪机构进行的交易由证券经纪机构作为结算参与人代理本基金进行结算；本基金通过期货经纪机构进行的交易由期货经纪机构作为结算参与人代理本基金进行结算；本基金其他证券交易由基金托管人或相关机构负责结算。基金管理人、基金托管人以及被选择的证券经纪机构应根据有关法律法规及相关业务规则，签订证券经纪服务协议，用以具体明确三方在证券交易资金结算业务中的责任。</w:t>
      </w:r>
    </w:p>
    <w:p w14:paraId="10F7D2DE"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本基金投资于所有场外交易的资金汇划，全部由基金托管人负责办理。证券经纪机构代理本基金财产与中登公司完成证券交易及</w:t>
      </w:r>
      <w:proofErr w:type="gramStart"/>
      <w:r w:rsidRPr="00F47BA9">
        <w:rPr>
          <w:rFonts w:ascii="Times New Roman" w:eastAsia="仿宋" w:hAnsi="Times New Roman" w:hint="eastAsia"/>
          <w:sz w:val="24"/>
          <w:lang w:eastAsia="zh-CN"/>
        </w:rPr>
        <w:t>非交易</w:t>
      </w:r>
      <w:proofErr w:type="gramEnd"/>
      <w:r w:rsidRPr="00F47BA9">
        <w:rPr>
          <w:rFonts w:ascii="Times New Roman" w:eastAsia="仿宋" w:hAnsi="Times New Roman" w:hint="eastAsia"/>
          <w:sz w:val="24"/>
          <w:lang w:eastAsia="zh-CN"/>
        </w:rPr>
        <w:t>涉及的证券资金结算业务，并承担由证券经纪机构原因造成的正常结算、交收业务无法完成的责任。</w:t>
      </w:r>
      <w:bookmarkStart w:id="63" w:name="_Toc77663013"/>
    </w:p>
    <w:p w14:paraId="0E6149B2"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（三）基金投资期货后的清算交收安排</w:t>
      </w:r>
    </w:p>
    <w:p w14:paraId="4554EA3C"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本基金通过期货经</w:t>
      </w:r>
      <w:r w:rsidRPr="00F47BA9">
        <w:rPr>
          <w:rFonts w:ascii="Times New Roman" w:eastAsia="仿宋" w:hAnsi="Times New Roman"/>
          <w:sz w:val="24"/>
          <w:lang w:eastAsia="zh-CN"/>
        </w:rPr>
        <w:t>纪</w:t>
      </w:r>
      <w:r w:rsidRPr="00F47BA9">
        <w:rPr>
          <w:rFonts w:ascii="Times New Roman" w:eastAsia="仿宋" w:hAnsi="Times New Roman" w:hint="eastAsia"/>
          <w:sz w:val="24"/>
          <w:lang w:eastAsia="zh-CN"/>
        </w:rPr>
        <w:t>机构进行的交易由期货经</w:t>
      </w:r>
      <w:r w:rsidRPr="00F47BA9">
        <w:rPr>
          <w:rFonts w:ascii="Times New Roman" w:eastAsia="仿宋" w:hAnsi="Times New Roman"/>
          <w:sz w:val="24"/>
          <w:lang w:eastAsia="zh-CN"/>
        </w:rPr>
        <w:t>纪</w:t>
      </w:r>
      <w:r w:rsidRPr="00F47BA9">
        <w:rPr>
          <w:rFonts w:ascii="Times New Roman" w:eastAsia="仿宋" w:hAnsi="Times New Roman" w:hint="eastAsia"/>
          <w:sz w:val="24"/>
          <w:lang w:eastAsia="zh-CN"/>
        </w:rPr>
        <w:t>机构作为结算参与人代理本基金进行结算，并承担由期货经纪机构原因造成的正常结算、交收业务无法完成的责任。</w:t>
      </w:r>
    </w:p>
    <w:p w14:paraId="65AADEF4"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基金管理人、基金托管人和期货经纪机构可就基金参与期货交易的具体事项另行签订协议，明确三方在本基金参与期货交易中的账户开立、资金划拨、期货交易、交易费用、数据传输，以及</w:t>
      </w:r>
      <w:proofErr w:type="gramStart"/>
      <w:r w:rsidRPr="00F47BA9">
        <w:rPr>
          <w:rFonts w:ascii="Times New Roman" w:eastAsia="仿宋" w:hAnsi="Times New Roman" w:hint="eastAsia"/>
          <w:sz w:val="24"/>
          <w:lang w:eastAsia="zh-CN"/>
        </w:rPr>
        <w:t>风控控制</w:t>
      </w:r>
      <w:proofErr w:type="gramEnd"/>
      <w:r w:rsidRPr="00F47BA9">
        <w:rPr>
          <w:rFonts w:ascii="Times New Roman" w:eastAsia="仿宋" w:hAnsi="Times New Roman" w:hint="eastAsia"/>
          <w:sz w:val="24"/>
          <w:lang w:eastAsia="zh-CN"/>
        </w:rPr>
        <w:t>与监督等方面的职责和义务。</w:t>
      </w:r>
    </w:p>
    <w:p w14:paraId="67382AB4"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基金管理人应责成其选择的期货公司对发送的数据的准确性、完整性、真</w:t>
      </w:r>
      <w:r w:rsidRPr="00F47BA9">
        <w:rPr>
          <w:rFonts w:ascii="Times New Roman" w:eastAsia="仿宋" w:hAnsi="Times New Roman" w:hint="eastAsia"/>
          <w:sz w:val="24"/>
          <w:lang w:eastAsia="zh-CN"/>
        </w:rPr>
        <w:lastRenderedPageBreak/>
        <w:t>实性负责。由于交易结算报告的记载事项出现与实际交易结果和权益不符造成本基金估值计算错误的，应由基金管理人负责向数据发送方追偿，基金托管人应予以必要的协助和配合。</w:t>
      </w:r>
    </w:p>
    <w:p w14:paraId="70CB2317"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（四）基金管理人与基金托管人进行资金、证券账目和交易记录的核对</w:t>
      </w:r>
      <w:bookmarkEnd w:id="63"/>
    </w:p>
    <w:p w14:paraId="3C0E122E"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对基金的交易记录，由基金管理人按日进行核对。对外披露基金份额净值之前，必须保证当天所有实际交易记录与基金会计账簿上的交易记录完全一致。如果交易记录与会计账簿记录不一致，造成基金会计核算不完整或不真实，由此导致的损失由责任方承担。基金管理人每一交易日以双方认可的方式在当日全部交易结束后，将编制的基金资金、证券账目传送给基金托管人，基金托管人按日进行账目核对。</w:t>
      </w:r>
    </w:p>
    <w:p w14:paraId="02DC4D0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对实物</w:t>
      </w:r>
      <w:proofErr w:type="gramStart"/>
      <w:r w:rsidRPr="00F47BA9">
        <w:rPr>
          <w:rFonts w:ascii="Times New Roman" w:eastAsia="仿宋" w:hAnsi="Times New Roman" w:hint="eastAsia"/>
          <w:sz w:val="24"/>
          <w:lang w:eastAsia="zh-CN"/>
        </w:rPr>
        <w:t>券</w:t>
      </w:r>
      <w:proofErr w:type="gramEnd"/>
      <w:r w:rsidRPr="00F47BA9">
        <w:rPr>
          <w:rFonts w:ascii="Times New Roman" w:eastAsia="仿宋" w:hAnsi="Times New Roman" w:hint="eastAsia"/>
          <w:sz w:val="24"/>
          <w:lang w:eastAsia="zh-CN"/>
        </w:rPr>
        <w:t>账目，相关各方定期进行账实核对。</w:t>
      </w:r>
    </w:p>
    <w:p w14:paraId="58849322"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基金托管人应定期核对证券账户中的证券数量和种类。</w:t>
      </w:r>
    </w:p>
    <w:p w14:paraId="710D6E05"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双方可协商采用电子对</w:t>
      </w:r>
      <w:proofErr w:type="gramStart"/>
      <w:r w:rsidRPr="00F47BA9">
        <w:rPr>
          <w:rFonts w:ascii="Times New Roman" w:eastAsia="仿宋" w:hAnsi="Times New Roman" w:hint="eastAsia"/>
          <w:sz w:val="24"/>
          <w:lang w:eastAsia="zh-CN"/>
        </w:rPr>
        <w:t>账</w:t>
      </w:r>
      <w:proofErr w:type="gramEnd"/>
      <w:r w:rsidRPr="00F47BA9">
        <w:rPr>
          <w:rFonts w:ascii="Times New Roman" w:eastAsia="仿宋" w:hAnsi="Times New Roman" w:hint="eastAsia"/>
          <w:sz w:val="24"/>
          <w:lang w:eastAsia="zh-CN"/>
        </w:rPr>
        <w:t>方式进行账目核对。</w:t>
      </w:r>
    </w:p>
    <w:p w14:paraId="2B42B186" w14:textId="77777777" w:rsidR="00FB20DE" w:rsidRPr="00F47BA9" w:rsidRDefault="00A6695E">
      <w:pPr>
        <w:spacing w:after="0" w:line="360" w:lineRule="auto"/>
        <w:ind w:firstLine="480"/>
        <w:rPr>
          <w:rFonts w:ascii="Times New Roman" w:eastAsia="仿宋" w:hAnsi="Times New Roman"/>
          <w:sz w:val="24"/>
          <w:lang w:eastAsia="zh-CN"/>
        </w:rPr>
      </w:pPr>
      <w:bookmarkStart w:id="64" w:name="_Toc523829999"/>
      <w:bookmarkStart w:id="65" w:name="_Toc466788858"/>
      <w:r w:rsidRPr="00F47BA9">
        <w:rPr>
          <w:rFonts w:ascii="Times New Roman" w:eastAsia="仿宋" w:hAnsi="Times New Roman" w:hint="eastAsia"/>
          <w:sz w:val="24"/>
          <w:lang w:eastAsia="zh-CN"/>
        </w:rPr>
        <w:t>（</w:t>
      </w:r>
      <w:r w:rsidRPr="00F47BA9">
        <w:rPr>
          <w:rFonts w:ascii="Times New Roman" w:eastAsia="仿宋" w:hAnsi="Times New Roman"/>
          <w:sz w:val="24"/>
          <w:lang w:eastAsia="zh-CN"/>
        </w:rPr>
        <w:t>五</w:t>
      </w:r>
      <w:r w:rsidRPr="00F47BA9">
        <w:rPr>
          <w:rFonts w:ascii="Times New Roman" w:eastAsia="仿宋" w:hAnsi="Times New Roman" w:hint="eastAsia"/>
          <w:sz w:val="24"/>
          <w:lang w:eastAsia="zh-CN"/>
        </w:rPr>
        <w:t>）申购、赎回、转换开放式基金的资金清算和数据传递的时间、程序及托管协议当事人的责任界定</w:t>
      </w:r>
    </w:p>
    <w:p w14:paraId="38A13753"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、基金份额申购、赎回的确认，清算由基金管理人指定的登记机构负责。</w:t>
      </w:r>
    </w:p>
    <w:p w14:paraId="1BD4363C"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基金管理人应将每个开放日的申购、赎回、转换开放式基金的数据传送给基金托管人。基金管理人应对传递的申购、赎回、转换开放式基金的数据真实性、准确性、完整性负责。基金托管人应及时查收申购资金的到账情况并根据基金管理人指令及时划付赎回及转换款项。</w:t>
      </w:r>
    </w:p>
    <w:p w14:paraId="37314F6C"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、基金托管账户与“基金清算账户”间的资金结算遵循“全额清算、净额交收”的原则，每日按照托管账户应收资金与应付资金的差额来确定托管账户净应收额或净应付额，以此确定资金交收额。</w:t>
      </w:r>
    </w:p>
    <w:p w14:paraId="79C0C1D7"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sz w:val="24"/>
          <w:lang w:eastAsia="zh-CN"/>
        </w:rPr>
        <w:t>4</w:t>
      </w:r>
      <w:r w:rsidRPr="00F47BA9">
        <w:rPr>
          <w:rFonts w:ascii="Times New Roman" w:eastAsia="仿宋" w:hAnsi="Times New Roman" w:hint="eastAsia"/>
          <w:sz w:val="24"/>
          <w:lang w:eastAsia="zh-CN"/>
        </w:rPr>
        <w:t>、基金管理人应在与有关当事人约定的到账日期前将净应收额（不包含申购费）划至托管账户。如申购净额未能如期到账，基金托管人应及时通知基金管理人采取措施进行催收，由此给基金造成损失的，由责任方承担。基金管理人负责向责任方追偿基金的损失，基金托管人应给予积极的协助。</w:t>
      </w:r>
    </w:p>
    <w:p w14:paraId="72D94C9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sz w:val="24"/>
          <w:lang w:eastAsia="zh-CN"/>
        </w:rPr>
        <w:t>5</w:t>
      </w:r>
      <w:r w:rsidRPr="00F47BA9">
        <w:rPr>
          <w:rFonts w:ascii="Times New Roman" w:eastAsia="仿宋" w:hAnsi="Times New Roman" w:hint="eastAsia"/>
          <w:sz w:val="24"/>
          <w:lang w:eastAsia="zh-CN"/>
        </w:rPr>
        <w:t>、基金管理人应及时向基金托管人发送赎回及转换资金的划拨指令。基金托管人依据划款指令在与有关当事人约定的到账日期前将净应付额（包含赎回产生的应付费用）划至基金管理人指定账户。基金管理人应及时通知基金托管</w:t>
      </w:r>
      <w:r w:rsidRPr="00F47BA9">
        <w:rPr>
          <w:rFonts w:ascii="Times New Roman" w:eastAsia="仿宋" w:hAnsi="Times New Roman" w:hint="eastAsia"/>
          <w:sz w:val="24"/>
          <w:lang w:eastAsia="zh-CN"/>
        </w:rPr>
        <w:lastRenderedPageBreak/>
        <w:t>人划付。若赎回金额未能如期划拨，由此造成的损失，由责任方承担。基金管理人负责向责任方追偿基金的损失，基金托管人应给予积极的协助。</w:t>
      </w:r>
    </w:p>
    <w:p w14:paraId="155D1873"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sz w:val="24"/>
          <w:lang w:eastAsia="zh-CN"/>
        </w:rPr>
        <w:t>六</w:t>
      </w:r>
      <w:r w:rsidRPr="00F47BA9">
        <w:rPr>
          <w:rFonts w:ascii="Times New Roman" w:eastAsia="仿宋" w:hAnsi="Times New Roman" w:hint="eastAsia"/>
          <w:sz w:val="24"/>
          <w:lang w:eastAsia="zh-CN"/>
        </w:rPr>
        <w:t>）基金收益分配的清算交收安排</w:t>
      </w:r>
    </w:p>
    <w:p w14:paraId="2F7FBF8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、基金管理人决定收益分配方案并通知基金托管人，经基金托管人复核后，依照《信息披露办法》的有关规定在规定媒介公告。</w:t>
      </w:r>
    </w:p>
    <w:p w14:paraId="52E39062"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、基金托管人和基金管理人对基金收益分配进行账务处理并核对后，基金管理人应及时向基金托管人发送分发现金红利的划款指令，基金托管人依据划款指令在指定</w:t>
      </w:r>
      <w:proofErr w:type="gramStart"/>
      <w:r w:rsidRPr="00F47BA9">
        <w:rPr>
          <w:rFonts w:ascii="Times New Roman" w:eastAsia="仿宋" w:hAnsi="Times New Roman" w:hint="eastAsia"/>
          <w:sz w:val="24"/>
          <w:lang w:eastAsia="zh-CN"/>
        </w:rPr>
        <w:t>划付日</w:t>
      </w:r>
      <w:proofErr w:type="gramEnd"/>
      <w:r w:rsidRPr="00F47BA9">
        <w:rPr>
          <w:rFonts w:ascii="Times New Roman" w:eastAsia="仿宋" w:hAnsi="Times New Roman" w:hint="eastAsia"/>
          <w:sz w:val="24"/>
          <w:lang w:eastAsia="zh-CN"/>
        </w:rPr>
        <w:t>及时将资金划至基金管理人指定账户。</w:t>
      </w:r>
    </w:p>
    <w:p w14:paraId="7F26E07B"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、基金管理人在下达分红款支付指令时，应给基金托管人留出必需的划款时间。</w:t>
      </w:r>
      <w:bookmarkStart w:id="66" w:name="_Toc125892444"/>
    </w:p>
    <w:p w14:paraId="117EC992" w14:textId="77777777" w:rsidR="00FB20DE" w:rsidRPr="00F47BA9" w:rsidRDefault="00A6695E">
      <w:pPr>
        <w:pStyle w:val="1"/>
        <w:pageBreakBefore/>
        <w:jc w:val="center"/>
        <w:rPr>
          <w:rFonts w:ascii="Times New Roman" w:eastAsia="仿宋" w:hAnsi="Times New Roman"/>
          <w:color w:val="auto"/>
          <w:lang w:eastAsia="zh-CN"/>
        </w:rPr>
      </w:pPr>
      <w:bookmarkStart w:id="67" w:name="_Toc121842073"/>
      <w:r w:rsidRPr="00F47BA9">
        <w:rPr>
          <w:rFonts w:ascii="Times New Roman" w:eastAsia="仿宋" w:hAnsi="Times New Roman" w:hint="eastAsia"/>
          <w:color w:val="auto"/>
          <w:lang w:eastAsia="zh-CN"/>
        </w:rPr>
        <w:lastRenderedPageBreak/>
        <w:t>八、基金资产净值计算和会计核算</w:t>
      </w:r>
      <w:bookmarkEnd w:id="64"/>
      <w:bookmarkEnd w:id="65"/>
      <w:bookmarkEnd w:id="66"/>
      <w:bookmarkEnd w:id="67"/>
    </w:p>
    <w:p w14:paraId="48079552" w14:textId="77777777" w:rsidR="00FB20DE" w:rsidRPr="00F47BA9" w:rsidRDefault="00A6695E">
      <w:pPr>
        <w:spacing w:after="0" w:line="360" w:lineRule="auto"/>
        <w:ind w:firstLine="480"/>
        <w:rPr>
          <w:rFonts w:ascii="Times New Roman" w:eastAsia="仿宋" w:hAnsi="Times New Roman"/>
          <w:sz w:val="24"/>
          <w:lang w:eastAsia="zh-CN"/>
        </w:rPr>
      </w:pPr>
      <w:bookmarkStart w:id="68" w:name="_Toc77663017"/>
      <w:r w:rsidRPr="00F47BA9">
        <w:rPr>
          <w:rFonts w:ascii="Times New Roman" w:eastAsia="仿宋" w:hAnsi="Times New Roman" w:hint="eastAsia"/>
          <w:sz w:val="24"/>
          <w:lang w:eastAsia="zh-CN"/>
        </w:rPr>
        <w:t>（一）基金资产净值及基金份额净值的计算与复核</w:t>
      </w:r>
      <w:bookmarkEnd w:id="68"/>
    </w:p>
    <w:p w14:paraId="65F835D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基金资产净值是指基金资产总值减去负债后的价值。</w:t>
      </w:r>
    </w:p>
    <w:p w14:paraId="7E375FA2" w14:textId="38CFCE70" w:rsidR="00FB20DE"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w:t>
      </w:r>
      <w:proofErr w:type="gramStart"/>
      <w:r w:rsidRPr="00F47BA9">
        <w:rPr>
          <w:rFonts w:ascii="Times New Roman" w:eastAsia="仿宋" w:hAnsi="Times New Roman" w:hint="eastAsia"/>
          <w:sz w:val="24"/>
          <w:lang w:eastAsia="zh-CN"/>
        </w:rPr>
        <w:t>应每个</w:t>
      </w:r>
      <w:proofErr w:type="gramEnd"/>
      <w:r w:rsidRPr="00F47BA9">
        <w:rPr>
          <w:rFonts w:ascii="Times New Roman" w:eastAsia="仿宋" w:hAnsi="Times New Roman" w:hint="eastAsia"/>
          <w:sz w:val="24"/>
          <w:lang w:eastAsia="zh-CN"/>
        </w:rPr>
        <w:t>工作日对基金资产估值。但基金管理人根据法律法规或基金合同的规定暂停估值时除外。估值原则应符合《基金合同》、《中国证监会关于证券投资基金估值业务的指导意见》及其他法律、法规的规定。基金资产净值和各类基金份额净值由基金管理人负责计算，基金托管人复核。基金管理人应于每个工作日交易结束后计算当日的基金资产净值和各类基金份额净值，以约定方式发送给基金托管人。各类基金份额净值是按照每个工作日闭市后，各类基金资产净值除以当日相应类别基金份额的余额数量计算，均精确到</w:t>
      </w:r>
      <w:r w:rsidRPr="00F47BA9">
        <w:rPr>
          <w:rFonts w:ascii="Times New Roman" w:eastAsia="仿宋" w:hAnsi="Times New Roman" w:hint="eastAsia"/>
          <w:sz w:val="24"/>
          <w:lang w:eastAsia="zh-CN"/>
        </w:rPr>
        <w:t>0.0001</w:t>
      </w:r>
      <w:r w:rsidRPr="00F47BA9">
        <w:rPr>
          <w:rFonts w:ascii="Times New Roman" w:eastAsia="仿宋" w:hAnsi="Times New Roman" w:hint="eastAsia"/>
          <w:sz w:val="24"/>
          <w:lang w:eastAsia="zh-CN"/>
        </w:rPr>
        <w:t>元，小数点后第</w:t>
      </w:r>
      <w:r w:rsidRPr="00F47BA9">
        <w:rPr>
          <w:rFonts w:ascii="Times New Roman" w:eastAsia="仿宋" w:hAnsi="Times New Roman" w:hint="eastAsia"/>
          <w:sz w:val="24"/>
          <w:lang w:eastAsia="zh-CN"/>
        </w:rPr>
        <w:t>5</w:t>
      </w:r>
      <w:r w:rsidRPr="00F47BA9">
        <w:rPr>
          <w:rFonts w:ascii="Times New Roman" w:eastAsia="仿宋" w:hAnsi="Times New Roman" w:hint="eastAsia"/>
          <w:sz w:val="24"/>
          <w:lang w:eastAsia="zh-CN"/>
        </w:rPr>
        <w:t>位四舍五入，由此产生的收益或损失由基金财产承担。</w:t>
      </w:r>
      <w:r w:rsidRPr="00F47BA9">
        <w:rPr>
          <w:rFonts w:eastAsia="仿宋"/>
          <w:bCs/>
          <w:sz w:val="24"/>
          <w:lang w:eastAsia="zh-CN"/>
        </w:rPr>
        <w:t>基金管理人可以设立大额赎回情形下的净值精度应急调整机制。国家另有规定的，从其规定。</w:t>
      </w:r>
      <w:r w:rsidRPr="00F47BA9">
        <w:rPr>
          <w:rFonts w:ascii="Times New Roman" w:eastAsia="仿宋" w:hAnsi="Times New Roman" w:hint="eastAsia"/>
          <w:sz w:val="24"/>
          <w:lang w:eastAsia="zh-CN"/>
        </w:rPr>
        <w:t>基金托管人对净值计算结果复核后，将复核结果反馈给基金管理人，由基金管理人按规定对各类基金份额净值予以公布。</w:t>
      </w:r>
    </w:p>
    <w:p w14:paraId="66CF6752" w14:textId="68F3BF26" w:rsidR="00E870B3" w:rsidRPr="00F47BA9" w:rsidRDefault="00E870B3">
      <w:pPr>
        <w:spacing w:after="0" w:line="360" w:lineRule="auto"/>
        <w:ind w:firstLine="480"/>
        <w:rPr>
          <w:rFonts w:ascii="Times New Roman" w:eastAsia="仿宋" w:hAnsi="Times New Roman"/>
          <w:sz w:val="24"/>
          <w:lang w:eastAsia="zh-CN"/>
        </w:rPr>
      </w:pPr>
      <w:r w:rsidRPr="00E870B3">
        <w:rPr>
          <w:rFonts w:ascii="Times New Roman" w:eastAsia="仿宋" w:hAnsi="Times New Roman" w:hint="eastAsia"/>
          <w:sz w:val="24"/>
          <w:lang w:eastAsia="zh-CN"/>
        </w:rPr>
        <w:t>由于本基金允许投资基金管理人旗下的开放式基金，</w:t>
      </w:r>
      <w:r>
        <w:rPr>
          <w:rFonts w:ascii="Times New Roman" w:eastAsia="仿宋" w:hAnsi="Times New Roman" w:hint="eastAsia"/>
          <w:sz w:val="24"/>
          <w:lang w:eastAsia="zh-CN"/>
        </w:rPr>
        <w:t>对于按基金份额净值进行估值的所投资基金，</w:t>
      </w:r>
      <w:r w:rsidRPr="00E870B3">
        <w:rPr>
          <w:rFonts w:ascii="Times New Roman" w:eastAsia="仿宋" w:hAnsi="Times New Roman" w:hint="eastAsia"/>
          <w:sz w:val="24"/>
          <w:lang w:eastAsia="zh-CN"/>
        </w:rPr>
        <w:t>基金管理人和基金托管人需根据已披露的基金份额净值对本基金进行估值。</w:t>
      </w:r>
    </w:p>
    <w:p w14:paraId="2D5CCFD3"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本基金按以下方法估值：</w:t>
      </w:r>
    </w:p>
    <w:p w14:paraId="5C9DA2CC" w14:textId="77777777" w:rsidR="00FB20DE" w:rsidRPr="00F47BA9" w:rsidRDefault="00A6695E">
      <w:pPr>
        <w:spacing w:after="0" w:line="360" w:lineRule="auto"/>
        <w:ind w:firstLine="480"/>
        <w:rPr>
          <w:rFonts w:ascii="Times New Roman" w:eastAsia="仿宋" w:hAnsi="Times New Roman"/>
          <w:bCs/>
          <w:sz w:val="24"/>
          <w:lang w:eastAsia="zh-CN"/>
        </w:rPr>
      </w:pPr>
      <w:bookmarkStart w:id="69" w:name="OLE_LINK16"/>
      <w:r w:rsidRPr="00F47BA9">
        <w:rPr>
          <w:rFonts w:ascii="Times New Roman" w:eastAsia="仿宋" w:hAnsi="Times New Roman" w:hint="eastAsia"/>
          <w:bCs/>
          <w:sz w:val="24"/>
          <w:lang w:eastAsia="zh-CN"/>
        </w:rPr>
        <w:t>1</w:t>
      </w:r>
      <w:r w:rsidRPr="00F47BA9">
        <w:rPr>
          <w:rFonts w:ascii="Times New Roman" w:eastAsia="仿宋" w:hAnsi="Times New Roman" w:hint="eastAsia"/>
          <w:bCs/>
          <w:sz w:val="24"/>
          <w:lang w:eastAsia="zh-CN"/>
        </w:rPr>
        <w:t>、证券交易所上市的有价证券（不包括证券投资基金）的估值</w:t>
      </w:r>
    </w:p>
    <w:p w14:paraId="267B6173"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w:t>
      </w:r>
      <w:r w:rsidRPr="00F47BA9">
        <w:rPr>
          <w:rFonts w:ascii="Times New Roman" w:eastAsia="仿宋" w:hAnsi="Times New Roman" w:hint="eastAsia"/>
          <w:bCs/>
          <w:sz w:val="24"/>
          <w:lang w:eastAsia="zh-CN"/>
        </w:rPr>
        <w:t>1</w:t>
      </w:r>
      <w:r w:rsidRPr="00F47BA9">
        <w:rPr>
          <w:rFonts w:ascii="Times New Roman" w:eastAsia="仿宋" w:hAnsi="Times New Roman" w:hint="eastAsia"/>
          <w:bCs/>
          <w:sz w:val="24"/>
          <w:lang w:eastAsia="zh-CN"/>
        </w:rPr>
        <w:t>）交易所上市的有价证券（包括股票等，另有规定的除外），以其估值日在证券交易所挂牌的市价（收盘价）估值；估值日无交易的，最近交易日后经济环境未发生重大变化且证券发行机构未发生影响证券价格的重大事件的，以最近交易日的市价（收盘价）估值；如有充足证据（最近交易日后经济环境发生了重大变化或证券发行机构发生影响证券价格的重大事件的）表明估值日或最近交易日的报价不能真实反映公允价值的，可参考类似投资品种的现行市价及重大变化因素，调整最近交易市价，确定公允价格；</w:t>
      </w:r>
    </w:p>
    <w:p w14:paraId="66563D7C"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w:t>
      </w:r>
      <w:r w:rsidRPr="00F47BA9">
        <w:rPr>
          <w:rFonts w:ascii="Times New Roman" w:eastAsia="仿宋" w:hAnsi="Times New Roman" w:hint="eastAsia"/>
          <w:bCs/>
          <w:sz w:val="24"/>
          <w:lang w:eastAsia="zh-CN"/>
        </w:rPr>
        <w:t>2</w:t>
      </w:r>
      <w:r w:rsidRPr="00F47BA9">
        <w:rPr>
          <w:rFonts w:ascii="Times New Roman" w:eastAsia="仿宋" w:hAnsi="Times New Roman" w:hint="eastAsia"/>
          <w:bCs/>
          <w:sz w:val="24"/>
          <w:lang w:eastAsia="zh-CN"/>
        </w:rPr>
        <w:t>）交易所已上市或已挂牌转让的不含</w:t>
      </w:r>
      <w:proofErr w:type="gramStart"/>
      <w:r w:rsidRPr="00F47BA9">
        <w:rPr>
          <w:rFonts w:ascii="Times New Roman" w:eastAsia="仿宋" w:hAnsi="Times New Roman" w:hint="eastAsia"/>
          <w:bCs/>
          <w:sz w:val="24"/>
          <w:lang w:eastAsia="zh-CN"/>
        </w:rPr>
        <w:t>权固定</w:t>
      </w:r>
      <w:proofErr w:type="gramEnd"/>
      <w:r w:rsidRPr="00F47BA9">
        <w:rPr>
          <w:rFonts w:ascii="Times New Roman" w:eastAsia="仿宋" w:hAnsi="Times New Roman" w:hint="eastAsia"/>
          <w:bCs/>
          <w:sz w:val="24"/>
          <w:lang w:eastAsia="zh-CN"/>
        </w:rPr>
        <w:t>收益品种（另有规定的除外），选取第三方估值基准服务机构提供的相应品种当日的估值全价。交易所已上市或已挂牌转让的含</w:t>
      </w:r>
      <w:proofErr w:type="gramStart"/>
      <w:r w:rsidRPr="00F47BA9">
        <w:rPr>
          <w:rFonts w:ascii="Times New Roman" w:eastAsia="仿宋" w:hAnsi="Times New Roman" w:hint="eastAsia"/>
          <w:bCs/>
          <w:sz w:val="24"/>
          <w:lang w:eastAsia="zh-CN"/>
        </w:rPr>
        <w:t>权固定</w:t>
      </w:r>
      <w:proofErr w:type="gramEnd"/>
      <w:r w:rsidRPr="00F47BA9">
        <w:rPr>
          <w:rFonts w:ascii="Times New Roman" w:eastAsia="仿宋" w:hAnsi="Times New Roman" w:hint="eastAsia"/>
          <w:bCs/>
          <w:sz w:val="24"/>
          <w:lang w:eastAsia="zh-CN"/>
        </w:rPr>
        <w:t>收益品种（另有规定的除外），选取第三方估</w:t>
      </w:r>
      <w:r w:rsidRPr="00F47BA9">
        <w:rPr>
          <w:rFonts w:ascii="Times New Roman" w:eastAsia="仿宋" w:hAnsi="Times New Roman" w:hint="eastAsia"/>
          <w:bCs/>
          <w:sz w:val="24"/>
          <w:lang w:eastAsia="zh-CN"/>
        </w:rPr>
        <w:lastRenderedPageBreak/>
        <w:t>值基准服务机构提供的相应品种当日的唯一估值全价或推荐估值全价；</w:t>
      </w:r>
    </w:p>
    <w:p w14:paraId="1581AD8B"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w:t>
      </w:r>
      <w:r w:rsidRPr="00F47BA9">
        <w:rPr>
          <w:rFonts w:ascii="Times New Roman" w:eastAsia="仿宋" w:hAnsi="Times New Roman" w:hint="eastAsia"/>
          <w:bCs/>
          <w:sz w:val="24"/>
          <w:lang w:eastAsia="zh-CN"/>
        </w:rPr>
        <w:t>3</w:t>
      </w:r>
      <w:r w:rsidRPr="00F47BA9">
        <w:rPr>
          <w:rFonts w:ascii="Times New Roman" w:eastAsia="仿宋" w:hAnsi="Times New Roman" w:hint="eastAsia"/>
          <w:bCs/>
          <w:sz w:val="24"/>
          <w:lang w:eastAsia="zh-CN"/>
        </w:rPr>
        <w:t>）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2AEB6BC3"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w:t>
      </w:r>
      <w:r w:rsidRPr="00F47BA9">
        <w:rPr>
          <w:rFonts w:ascii="Times New Roman" w:eastAsia="仿宋" w:hAnsi="Times New Roman" w:hint="eastAsia"/>
          <w:bCs/>
          <w:sz w:val="24"/>
          <w:lang w:eastAsia="zh-CN"/>
        </w:rPr>
        <w:t>4</w:t>
      </w:r>
      <w:r w:rsidRPr="00F47BA9">
        <w:rPr>
          <w:rFonts w:ascii="Times New Roman" w:eastAsia="仿宋" w:hAnsi="Times New Roman" w:hint="eastAsia"/>
          <w:bCs/>
          <w:sz w:val="24"/>
          <w:lang w:eastAsia="zh-CN"/>
        </w:rPr>
        <w:t>）本基金投资存托凭证的估值核算，依照境内上市交易的股票执行。</w:t>
      </w:r>
    </w:p>
    <w:p w14:paraId="2491EF82"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2</w:t>
      </w:r>
      <w:r w:rsidRPr="00F47BA9">
        <w:rPr>
          <w:rFonts w:ascii="Times New Roman" w:eastAsia="仿宋" w:hAnsi="Times New Roman" w:hint="eastAsia"/>
          <w:bCs/>
          <w:sz w:val="24"/>
          <w:lang w:eastAsia="zh-CN"/>
        </w:rPr>
        <w:t>、处于未上市期间的有价证券应区分如下情况处理：</w:t>
      </w:r>
    </w:p>
    <w:p w14:paraId="0D9E15A3"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w:t>
      </w:r>
      <w:r w:rsidRPr="00F47BA9">
        <w:rPr>
          <w:rFonts w:ascii="Times New Roman" w:eastAsia="仿宋" w:hAnsi="Times New Roman" w:hint="eastAsia"/>
          <w:bCs/>
          <w:sz w:val="24"/>
          <w:lang w:eastAsia="zh-CN"/>
        </w:rPr>
        <w:t>1</w:t>
      </w:r>
      <w:r w:rsidRPr="00F47BA9">
        <w:rPr>
          <w:rFonts w:ascii="Times New Roman" w:eastAsia="仿宋" w:hAnsi="Times New Roman" w:hint="eastAsia"/>
          <w:bCs/>
          <w:sz w:val="24"/>
          <w:lang w:eastAsia="zh-CN"/>
        </w:rPr>
        <w:t>）送股、转增股、配股和公开增发的新股，按估值日在证券交易所挂牌的同一股票的市值（收盘价）估值；该日无交易的，以最近一日的市价（收盘价）估值；</w:t>
      </w:r>
    </w:p>
    <w:p w14:paraId="04B0C5AA"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w:t>
      </w:r>
      <w:r w:rsidRPr="00F47BA9">
        <w:rPr>
          <w:rFonts w:ascii="Times New Roman" w:eastAsia="仿宋" w:hAnsi="Times New Roman" w:hint="eastAsia"/>
          <w:bCs/>
          <w:sz w:val="24"/>
          <w:lang w:eastAsia="zh-CN"/>
        </w:rPr>
        <w:t>2</w:t>
      </w:r>
      <w:r w:rsidRPr="00F47BA9">
        <w:rPr>
          <w:rFonts w:ascii="Times New Roman" w:eastAsia="仿宋" w:hAnsi="Times New Roman" w:hint="eastAsia"/>
          <w:bCs/>
          <w:sz w:val="24"/>
          <w:lang w:eastAsia="zh-CN"/>
        </w:rPr>
        <w:t>）未上市或未挂牌转让且不存在活跃市场的固定收益品种，采用在当前情况下适用并且有足够可利用数据和其他信息支持的估值技术确定其公允价值；</w:t>
      </w:r>
    </w:p>
    <w:p w14:paraId="0C9BCE1F"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w:t>
      </w:r>
      <w:r w:rsidRPr="00F47BA9">
        <w:rPr>
          <w:rFonts w:ascii="Times New Roman" w:eastAsia="仿宋" w:hAnsi="Times New Roman" w:hint="eastAsia"/>
          <w:bCs/>
          <w:sz w:val="24"/>
          <w:lang w:eastAsia="zh-CN"/>
        </w:rPr>
        <w:t>3</w:t>
      </w:r>
      <w:r w:rsidRPr="00F47BA9">
        <w:rPr>
          <w:rFonts w:ascii="Times New Roman" w:eastAsia="仿宋" w:hAnsi="Times New Roman" w:hint="eastAsia"/>
          <w:bCs/>
          <w:sz w:val="24"/>
          <w:lang w:eastAsia="zh-CN"/>
        </w:rPr>
        <w:t>）首次公开发行未上市的股票，采用估值技术确定公允价值，在估值技术难以可靠计量公允价值的情况下，按发行价估值；</w:t>
      </w:r>
    </w:p>
    <w:p w14:paraId="503F3A0D"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w:t>
      </w:r>
      <w:r w:rsidRPr="00F47BA9">
        <w:rPr>
          <w:rFonts w:ascii="Times New Roman" w:eastAsia="仿宋" w:hAnsi="Times New Roman" w:hint="eastAsia"/>
          <w:bCs/>
          <w:sz w:val="24"/>
          <w:lang w:eastAsia="zh-CN"/>
        </w:rPr>
        <w:t>4</w:t>
      </w:r>
      <w:r w:rsidRPr="00F47BA9">
        <w:rPr>
          <w:rFonts w:ascii="Times New Roman" w:eastAsia="仿宋" w:hAnsi="Times New Roman" w:hint="eastAsia"/>
          <w:bCs/>
          <w:sz w:val="24"/>
          <w:lang w:eastAsia="zh-CN"/>
        </w:rPr>
        <w:t>）在发行时明确一定期限限售期的股票，包括但不限于非公开发行股票、首次公开发行股票时公司股东公开发售股份、通过大宗交易取得的带限售期的股票等，不包括停牌、新发行未上市、回购交易中的质押</w:t>
      </w:r>
      <w:proofErr w:type="gramStart"/>
      <w:r w:rsidRPr="00F47BA9">
        <w:rPr>
          <w:rFonts w:ascii="Times New Roman" w:eastAsia="仿宋" w:hAnsi="Times New Roman" w:hint="eastAsia"/>
          <w:bCs/>
          <w:sz w:val="24"/>
          <w:lang w:eastAsia="zh-CN"/>
        </w:rPr>
        <w:t>券</w:t>
      </w:r>
      <w:proofErr w:type="gramEnd"/>
      <w:r w:rsidRPr="00F47BA9">
        <w:rPr>
          <w:rFonts w:ascii="Times New Roman" w:eastAsia="仿宋" w:hAnsi="Times New Roman" w:hint="eastAsia"/>
          <w:bCs/>
          <w:sz w:val="24"/>
          <w:lang w:eastAsia="zh-CN"/>
        </w:rPr>
        <w:t>等流通受限股票，按监管机构或行业协会有关规定确定公允价值。</w:t>
      </w:r>
    </w:p>
    <w:p w14:paraId="24A2E6CE"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3</w:t>
      </w:r>
      <w:r w:rsidRPr="00F47BA9">
        <w:rPr>
          <w:rFonts w:ascii="Times New Roman" w:eastAsia="仿宋" w:hAnsi="Times New Roman" w:hint="eastAsia"/>
          <w:bCs/>
          <w:sz w:val="24"/>
          <w:lang w:eastAsia="zh-CN"/>
        </w:rPr>
        <w:t>、对全国银行间市场上不含</w:t>
      </w:r>
      <w:proofErr w:type="gramStart"/>
      <w:r w:rsidRPr="00F47BA9">
        <w:rPr>
          <w:rFonts w:ascii="Times New Roman" w:eastAsia="仿宋" w:hAnsi="Times New Roman" w:hint="eastAsia"/>
          <w:bCs/>
          <w:sz w:val="24"/>
          <w:lang w:eastAsia="zh-CN"/>
        </w:rPr>
        <w:t>权固定</w:t>
      </w:r>
      <w:proofErr w:type="gramEnd"/>
      <w:r w:rsidRPr="00F47BA9">
        <w:rPr>
          <w:rFonts w:ascii="Times New Roman" w:eastAsia="仿宋" w:hAnsi="Times New Roman" w:hint="eastAsia"/>
          <w:bCs/>
          <w:sz w:val="24"/>
          <w:lang w:eastAsia="zh-CN"/>
        </w:rPr>
        <w:t>收益品种（另有规定的除外），选取第三方估值基准服务机构提供的相应品种当日的估值全价。对银行间市场上含</w:t>
      </w:r>
      <w:proofErr w:type="gramStart"/>
      <w:r w:rsidRPr="00F47BA9">
        <w:rPr>
          <w:rFonts w:ascii="Times New Roman" w:eastAsia="仿宋" w:hAnsi="Times New Roman" w:hint="eastAsia"/>
          <w:bCs/>
          <w:sz w:val="24"/>
          <w:lang w:eastAsia="zh-CN"/>
        </w:rPr>
        <w:t>权固定</w:t>
      </w:r>
      <w:proofErr w:type="gramEnd"/>
      <w:r w:rsidRPr="00F47BA9">
        <w:rPr>
          <w:rFonts w:ascii="Times New Roman" w:eastAsia="仿宋" w:hAnsi="Times New Roman" w:hint="eastAsia"/>
          <w:bCs/>
          <w:sz w:val="24"/>
          <w:lang w:eastAsia="zh-CN"/>
        </w:rPr>
        <w:t>收益品种（另有规定的除外），选取第三方估值基准服务机构提供的相应品种当日的唯一估值全价或推荐估值全价。</w:t>
      </w:r>
    </w:p>
    <w:p w14:paraId="187D3DC3"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4</w:t>
      </w:r>
      <w:r w:rsidRPr="00F47BA9">
        <w:rPr>
          <w:rFonts w:ascii="Times New Roman" w:eastAsia="仿宋" w:hAnsi="Times New Roman" w:hint="eastAsia"/>
          <w:bCs/>
          <w:sz w:val="24"/>
          <w:lang w:eastAsia="zh-CN"/>
        </w:rPr>
        <w:t>、对于含投资者回售权的固定收益品种，行使回售权的，在回售登记日至实际收款日期间选取第三方估值基准服务机构提供的相应品种的唯一估值全价或推荐估值全价，同时应充分考虑发行人的信用风险变化对公允价值的影响。回售登记期截止日（含当日）后未行使回售权的按照长待偿期所对应的价格进行估值。</w:t>
      </w:r>
    </w:p>
    <w:p w14:paraId="68CEC29C" w14:textId="5A14F79D" w:rsidR="00FD4928" w:rsidRPr="00F47BA9" w:rsidRDefault="00A6695E" w:rsidP="00E870B3">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5</w:t>
      </w:r>
      <w:r w:rsidRPr="00F47BA9">
        <w:rPr>
          <w:rFonts w:ascii="Times New Roman" w:eastAsia="仿宋" w:hAnsi="Times New Roman" w:hint="eastAsia"/>
          <w:bCs/>
          <w:sz w:val="24"/>
          <w:lang w:eastAsia="zh-CN"/>
        </w:rPr>
        <w:t>、证券投资基金的估值</w:t>
      </w:r>
    </w:p>
    <w:p w14:paraId="66B68AB7"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w:t>
      </w:r>
      <w:r w:rsidRPr="00F47BA9">
        <w:rPr>
          <w:rFonts w:ascii="Times New Roman" w:eastAsia="仿宋" w:hAnsi="Times New Roman" w:hint="eastAsia"/>
          <w:bCs/>
          <w:sz w:val="24"/>
          <w:lang w:eastAsia="zh-CN"/>
        </w:rPr>
        <w:t>1</w:t>
      </w:r>
      <w:r w:rsidRPr="00F47BA9">
        <w:rPr>
          <w:rFonts w:ascii="Times New Roman" w:eastAsia="仿宋" w:hAnsi="Times New Roman" w:hint="eastAsia"/>
          <w:bCs/>
          <w:sz w:val="24"/>
          <w:lang w:eastAsia="zh-CN"/>
        </w:rPr>
        <w:t>）非上市基金的估值</w:t>
      </w:r>
    </w:p>
    <w:p w14:paraId="03F47CDB"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本基金投资的境内非货币市场基金，按所投资基金估值日的份额净值估值。</w:t>
      </w:r>
    </w:p>
    <w:p w14:paraId="55668006"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w:t>
      </w:r>
      <w:r w:rsidRPr="00F47BA9">
        <w:rPr>
          <w:rFonts w:ascii="Times New Roman" w:eastAsia="仿宋" w:hAnsi="Times New Roman" w:hint="eastAsia"/>
          <w:bCs/>
          <w:sz w:val="24"/>
          <w:lang w:eastAsia="zh-CN"/>
        </w:rPr>
        <w:t>2</w:t>
      </w:r>
      <w:r w:rsidRPr="00F47BA9">
        <w:rPr>
          <w:rFonts w:ascii="Times New Roman" w:eastAsia="仿宋" w:hAnsi="Times New Roman" w:hint="eastAsia"/>
          <w:bCs/>
          <w:sz w:val="24"/>
          <w:lang w:eastAsia="zh-CN"/>
        </w:rPr>
        <w:t>）上市基金的估值</w:t>
      </w:r>
    </w:p>
    <w:p w14:paraId="584A554C"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lastRenderedPageBreak/>
        <w:t>1</w:t>
      </w:r>
      <w:r w:rsidRPr="00F47BA9">
        <w:rPr>
          <w:rFonts w:ascii="Times New Roman" w:eastAsia="仿宋" w:hAnsi="Times New Roman" w:hint="eastAsia"/>
          <w:bCs/>
          <w:sz w:val="24"/>
          <w:lang w:eastAsia="zh-CN"/>
        </w:rPr>
        <w:t>）本基金投资的</w:t>
      </w:r>
      <w:r w:rsidRPr="00F47BA9">
        <w:rPr>
          <w:rFonts w:ascii="Times New Roman" w:eastAsia="仿宋" w:hAnsi="Times New Roman" w:hint="eastAsia"/>
          <w:bCs/>
          <w:sz w:val="24"/>
          <w:lang w:eastAsia="zh-CN"/>
        </w:rPr>
        <w:t>ETF</w:t>
      </w:r>
      <w:r w:rsidRPr="00F47BA9">
        <w:rPr>
          <w:rFonts w:ascii="Times New Roman" w:eastAsia="仿宋" w:hAnsi="Times New Roman" w:hint="eastAsia"/>
          <w:bCs/>
          <w:sz w:val="24"/>
          <w:lang w:eastAsia="zh-CN"/>
        </w:rPr>
        <w:t>基金，按所投资</w:t>
      </w:r>
      <w:r w:rsidRPr="00F47BA9">
        <w:rPr>
          <w:rFonts w:ascii="Times New Roman" w:eastAsia="仿宋" w:hAnsi="Times New Roman" w:hint="eastAsia"/>
          <w:bCs/>
          <w:sz w:val="24"/>
          <w:lang w:eastAsia="zh-CN"/>
        </w:rPr>
        <w:t>ETF</w:t>
      </w:r>
      <w:r w:rsidRPr="00F47BA9">
        <w:rPr>
          <w:rFonts w:ascii="Times New Roman" w:eastAsia="仿宋" w:hAnsi="Times New Roman" w:hint="eastAsia"/>
          <w:bCs/>
          <w:sz w:val="24"/>
          <w:lang w:eastAsia="zh-CN"/>
        </w:rPr>
        <w:t>基金估值日的收盘价估值。</w:t>
      </w:r>
    </w:p>
    <w:p w14:paraId="36B72CC3"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2</w:t>
      </w:r>
      <w:r w:rsidRPr="00F47BA9">
        <w:rPr>
          <w:rFonts w:ascii="Times New Roman" w:eastAsia="仿宋" w:hAnsi="Times New Roman" w:hint="eastAsia"/>
          <w:bCs/>
          <w:sz w:val="24"/>
          <w:lang w:eastAsia="zh-CN"/>
        </w:rPr>
        <w:t>）本基金投资的境内上市开放式基金（</w:t>
      </w:r>
      <w:r w:rsidRPr="00F47BA9">
        <w:rPr>
          <w:rFonts w:ascii="Times New Roman" w:eastAsia="仿宋" w:hAnsi="Times New Roman" w:hint="eastAsia"/>
          <w:bCs/>
          <w:sz w:val="24"/>
          <w:lang w:eastAsia="zh-CN"/>
        </w:rPr>
        <w:t>LOF</w:t>
      </w:r>
      <w:r w:rsidRPr="00F47BA9">
        <w:rPr>
          <w:rFonts w:ascii="Times New Roman" w:eastAsia="仿宋" w:hAnsi="Times New Roman" w:hint="eastAsia"/>
          <w:bCs/>
          <w:sz w:val="24"/>
          <w:lang w:eastAsia="zh-CN"/>
        </w:rPr>
        <w:t>），按所投资基金估值日的份额净值估值。</w:t>
      </w:r>
    </w:p>
    <w:p w14:paraId="2C3CFAC0"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3</w:t>
      </w:r>
      <w:r w:rsidRPr="00F47BA9">
        <w:rPr>
          <w:rFonts w:ascii="Times New Roman" w:eastAsia="仿宋" w:hAnsi="Times New Roman" w:hint="eastAsia"/>
          <w:bCs/>
          <w:sz w:val="24"/>
          <w:lang w:eastAsia="zh-CN"/>
        </w:rPr>
        <w:t>）本基金投资的境内上市定期开放式基金、封闭式基金，按所投资基金估值日的收盘价估值。</w:t>
      </w:r>
    </w:p>
    <w:p w14:paraId="3A6C5D49"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w:t>
      </w:r>
      <w:r w:rsidRPr="00F47BA9">
        <w:rPr>
          <w:rFonts w:ascii="Times New Roman" w:eastAsia="仿宋" w:hAnsi="Times New Roman" w:hint="eastAsia"/>
          <w:bCs/>
          <w:sz w:val="24"/>
          <w:lang w:eastAsia="zh-CN"/>
        </w:rPr>
        <w:t>3</w:t>
      </w:r>
      <w:r w:rsidRPr="00F47BA9">
        <w:rPr>
          <w:rFonts w:ascii="Times New Roman" w:eastAsia="仿宋" w:hAnsi="Times New Roman" w:hint="eastAsia"/>
          <w:bCs/>
          <w:sz w:val="24"/>
          <w:lang w:eastAsia="zh-CN"/>
        </w:rPr>
        <w:t>）特殊情况处理</w:t>
      </w:r>
    </w:p>
    <w:p w14:paraId="6A438293" w14:textId="77777777" w:rsidR="00FB20DE" w:rsidRPr="00F47BA9" w:rsidRDefault="00A6695E">
      <w:pPr>
        <w:spacing w:after="0" w:line="360" w:lineRule="auto"/>
        <w:ind w:firstLine="480"/>
        <w:rPr>
          <w:rFonts w:ascii="Times New Roman" w:eastAsia="仿宋" w:hAnsi="Times New Roman"/>
          <w:bCs/>
          <w:sz w:val="24"/>
          <w:lang w:eastAsia="zh-CN"/>
        </w:rPr>
      </w:pPr>
      <w:proofErr w:type="gramStart"/>
      <w:r w:rsidRPr="00F47BA9">
        <w:rPr>
          <w:rFonts w:ascii="Times New Roman" w:eastAsia="仿宋" w:hAnsi="Times New Roman" w:hint="eastAsia"/>
          <w:bCs/>
          <w:sz w:val="24"/>
          <w:lang w:eastAsia="zh-CN"/>
        </w:rPr>
        <w:t>如遇所投资</w:t>
      </w:r>
      <w:proofErr w:type="gramEnd"/>
      <w:r w:rsidRPr="00F47BA9">
        <w:rPr>
          <w:rFonts w:ascii="Times New Roman" w:eastAsia="仿宋" w:hAnsi="Times New Roman" w:hint="eastAsia"/>
          <w:bCs/>
          <w:sz w:val="24"/>
          <w:lang w:eastAsia="zh-CN"/>
        </w:rPr>
        <w:t>基金不公布基金份额净值、进行折算或拆分、估值日无交易等特殊情况，基金管理人根据以下原则进行估值：</w:t>
      </w:r>
    </w:p>
    <w:p w14:paraId="3AF51F10"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1</w:t>
      </w:r>
      <w:r w:rsidRPr="00F47BA9">
        <w:rPr>
          <w:rFonts w:ascii="Times New Roman" w:eastAsia="仿宋" w:hAnsi="Times New Roman" w:hint="eastAsia"/>
          <w:bCs/>
          <w:sz w:val="24"/>
          <w:lang w:eastAsia="zh-CN"/>
        </w:rPr>
        <w:t>）以所投资基金的基金份额净值估值的，若所投资基金与本基金估值频率一致但未公布估值日基金份额净值，按其最近公布的基金份额净值为基础估值。</w:t>
      </w:r>
    </w:p>
    <w:p w14:paraId="68B58499"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2</w:t>
      </w:r>
      <w:r w:rsidRPr="00F47BA9">
        <w:rPr>
          <w:rFonts w:ascii="Times New Roman" w:eastAsia="仿宋" w:hAnsi="Times New Roman" w:hint="eastAsia"/>
          <w:bCs/>
          <w:sz w:val="24"/>
          <w:lang w:eastAsia="zh-CN"/>
        </w:rPr>
        <w:t>）以所投资基金的收盘价估值的，若估值日无交易，且最近交易日后市场环境未发生重大变化，按最近交易日的收盘价估值；如最近交易日后市场环境发生了重大变化的，可使用最新的基金份额净值为基础或参考类似投资品种的现行市价及重大变化因素调整最近交易市价，确定公允价值。</w:t>
      </w:r>
    </w:p>
    <w:p w14:paraId="16ACCEFB"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3</w:t>
      </w:r>
      <w:r w:rsidRPr="00F47BA9">
        <w:rPr>
          <w:rFonts w:ascii="Times New Roman" w:eastAsia="仿宋" w:hAnsi="Times New Roman" w:hint="eastAsia"/>
          <w:bCs/>
          <w:sz w:val="24"/>
          <w:lang w:eastAsia="zh-CN"/>
        </w:rPr>
        <w:t>）如果所投资基金前一估值日至估值日期间发生分红除权、折算或拆分，应根据基金份额净值或收盘价、单位基金份额分红金额、折算拆分比例、持仓份额等因素合理确定公允价值。</w:t>
      </w:r>
    </w:p>
    <w:p w14:paraId="7E8D2E26"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w:t>
      </w:r>
      <w:r w:rsidRPr="00F47BA9">
        <w:rPr>
          <w:rFonts w:ascii="Times New Roman" w:eastAsia="仿宋" w:hAnsi="Times New Roman" w:hint="eastAsia"/>
          <w:bCs/>
          <w:sz w:val="24"/>
          <w:lang w:eastAsia="zh-CN"/>
        </w:rPr>
        <w:t>4</w:t>
      </w:r>
      <w:r w:rsidRPr="00F47BA9">
        <w:rPr>
          <w:rFonts w:ascii="Times New Roman" w:eastAsia="仿宋" w:hAnsi="Times New Roman" w:hint="eastAsia"/>
          <w:bCs/>
          <w:sz w:val="24"/>
          <w:lang w:eastAsia="zh-CN"/>
        </w:rPr>
        <w:t>）当基金管理人认为所投资基金按上述第（</w:t>
      </w:r>
      <w:r w:rsidRPr="00F47BA9">
        <w:rPr>
          <w:rFonts w:ascii="Times New Roman" w:eastAsia="仿宋" w:hAnsi="Times New Roman" w:hint="eastAsia"/>
          <w:bCs/>
          <w:sz w:val="24"/>
          <w:lang w:eastAsia="zh-CN"/>
        </w:rPr>
        <w:t>1</w:t>
      </w:r>
      <w:r w:rsidRPr="00F47BA9">
        <w:rPr>
          <w:rFonts w:ascii="Times New Roman" w:eastAsia="仿宋" w:hAnsi="Times New Roman" w:hint="eastAsia"/>
          <w:bCs/>
          <w:sz w:val="24"/>
          <w:lang w:eastAsia="zh-CN"/>
        </w:rPr>
        <w:t>）至第（</w:t>
      </w:r>
      <w:r w:rsidRPr="00F47BA9">
        <w:rPr>
          <w:rFonts w:ascii="Times New Roman" w:eastAsia="仿宋" w:hAnsi="Times New Roman" w:hint="eastAsia"/>
          <w:bCs/>
          <w:sz w:val="24"/>
          <w:lang w:eastAsia="zh-CN"/>
        </w:rPr>
        <w:t>3</w:t>
      </w:r>
      <w:r w:rsidRPr="00F47BA9">
        <w:rPr>
          <w:rFonts w:ascii="Times New Roman" w:eastAsia="仿宋" w:hAnsi="Times New Roman" w:hint="eastAsia"/>
          <w:bCs/>
          <w:sz w:val="24"/>
          <w:lang w:eastAsia="zh-CN"/>
        </w:rPr>
        <w:t>）条进行估值存在</w:t>
      </w:r>
      <w:proofErr w:type="gramStart"/>
      <w:r w:rsidRPr="00F47BA9">
        <w:rPr>
          <w:rFonts w:ascii="Times New Roman" w:eastAsia="仿宋" w:hAnsi="Times New Roman" w:hint="eastAsia"/>
          <w:bCs/>
          <w:sz w:val="24"/>
          <w:lang w:eastAsia="zh-CN"/>
        </w:rPr>
        <w:t>不</w:t>
      </w:r>
      <w:proofErr w:type="gramEnd"/>
      <w:r w:rsidRPr="00F47BA9">
        <w:rPr>
          <w:rFonts w:ascii="Times New Roman" w:eastAsia="仿宋" w:hAnsi="Times New Roman" w:hint="eastAsia"/>
          <w:bCs/>
          <w:sz w:val="24"/>
          <w:lang w:eastAsia="zh-CN"/>
        </w:rPr>
        <w:t>公允时，应与基金托管人协商一致采用合理的估值技术或估值标准确定其公允价值。</w:t>
      </w:r>
    </w:p>
    <w:p w14:paraId="09306623"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w:t>
      </w:r>
      <w:r w:rsidRPr="00F47BA9">
        <w:rPr>
          <w:rFonts w:ascii="Times New Roman" w:eastAsia="仿宋" w:hAnsi="Times New Roman" w:hint="eastAsia"/>
          <w:bCs/>
          <w:sz w:val="24"/>
          <w:lang w:eastAsia="zh-CN"/>
        </w:rPr>
        <w:t>5</w:t>
      </w:r>
      <w:r w:rsidRPr="00F47BA9">
        <w:rPr>
          <w:rFonts w:ascii="Times New Roman" w:eastAsia="仿宋" w:hAnsi="Times New Roman" w:hint="eastAsia"/>
          <w:bCs/>
          <w:sz w:val="24"/>
          <w:lang w:eastAsia="zh-CN"/>
        </w:rPr>
        <w:t>）基金管理人与基金托管人根据未来市场情况的变化对估值原则进行定期评估和调整。</w:t>
      </w:r>
    </w:p>
    <w:p w14:paraId="20CB09C9"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6</w:t>
      </w:r>
      <w:r w:rsidRPr="00F47BA9">
        <w:rPr>
          <w:rFonts w:ascii="Times New Roman" w:eastAsia="仿宋" w:hAnsi="Times New Roman" w:hint="eastAsia"/>
          <w:bCs/>
          <w:sz w:val="24"/>
          <w:lang w:eastAsia="zh-CN"/>
        </w:rPr>
        <w:t>、因持有股票而享有的配股权，采用估值技术确定公允价值。</w:t>
      </w:r>
    </w:p>
    <w:p w14:paraId="284318EC"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7</w:t>
      </w:r>
      <w:r w:rsidRPr="00F47BA9">
        <w:rPr>
          <w:rFonts w:ascii="Times New Roman" w:eastAsia="仿宋" w:hAnsi="Times New Roman" w:hint="eastAsia"/>
          <w:bCs/>
          <w:sz w:val="24"/>
          <w:lang w:eastAsia="zh-CN"/>
        </w:rPr>
        <w:t>、同一金融工具同时在两个或两个以上市场交易的，按其所处的市场分别估值。</w:t>
      </w:r>
    </w:p>
    <w:p w14:paraId="311FD25A"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8</w:t>
      </w:r>
      <w:r w:rsidRPr="00F47BA9">
        <w:rPr>
          <w:rFonts w:ascii="Times New Roman" w:eastAsia="仿宋" w:hAnsi="Times New Roman" w:hint="eastAsia"/>
          <w:bCs/>
          <w:sz w:val="24"/>
          <w:lang w:eastAsia="zh-CN"/>
        </w:rPr>
        <w:t>、本基金投资国债期货合约，一般以估值当日结算价进行估值，估值当日无结算价的，且最近交易日后经济环境未发生重大变化的，采用最近交易日结算价估值。</w:t>
      </w:r>
    </w:p>
    <w:p w14:paraId="2CD59E83"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9</w:t>
      </w:r>
      <w:r w:rsidRPr="00F47BA9">
        <w:rPr>
          <w:rFonts w:ascii="Times New Roman" w:eastAsia="仿宋" w:hAnsi="Times New Roman" w:hint="eastAsia"/>
          <w:bCs/>
          <w:sz w:val="24"/>
          <w:lang w:eastAsia="zh-CN"/>
        </w:rPr>
        <w:t>、信用衍生</w:t>
      </w:r>
      <w:proofErr w:type="gramStart"/>
      <w:r w:rsidRPr="00F47BA9">
        <w:rPr>
          <w:rFonts w:ascii="Times New Roman" w:eastAsia="仿宋" w:hAnsi="Times New Roman" w:hint="eastAsia"/>
          <w:bCs/>
          <w:sz w:val="24"/>
          <w:lang w:eastAsia="zh-CN"/>
        </w:rPr>
        <w:t>品按照</w:t>
      </w:r>
      <w:proofErr w:type="gramEnd"/>
      <w:r w:rsidRPr="00F47BA9">
        <w:rPr>
          <w:rFonts w:ascii="Times New Roman" w:eastAsia="仿宋" w:hAnsi="Times New Roman" w:hint="eastAsia"/>
          <w:bCs/>
          <w:sz w:val="24"/>
          <w:lang w:eastAsia="zh-CN"/>
        </w:rPr>
        <w:t>第三方估值基准服务机构提供的当日估值价格进行估值。第三方估值基准服务机构未提供估值价格的，应依照有关法律法规及会计准则</w:t>
      </w:r>
      <w:r w:rsidRPr="00F47BA9">
        <w:rPr>
          <w:rFonts w:ascii="Times New Roman" w:eastAsia="仿宋" w:hAnsi="Times New Roman" w:hint="eastAsia"/>
          <w:bCs/>
          <w:sz w:val="24"/>
          <w:lang w:eastAsia="zh-CN"/>
        </w:rPr>
        <w:lastRenderedPageBreak/>
        <w:t>的要求，使用合理估值技术确定公允价值。</w:t>
      </w:r>
    </w:p>
    <w:p w14:paraId="1A2EDCF0"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10</w:t>
      </w:r>
      <w:r w:rsidRPr="00F47BA9">
        <w:rPr>
          <w:rFonts w:ascii="Times New Roman" w:eastAsia="仿宋" w:hAnsi="Times New Roman" w:hint="eastAsia"/>
          <w:bCs/>
          <w:sz w:val="24"/>
          <w:lang w:eastAsia="zh-CN"/>
        </w:rPr>
        <w:t>、估值计算中涉及港币对人民币汇率的，以基金估值日中国人民银行或其授权机构公布的人民币汇率中间价为准。</w:t>
      </w:r>
    </w:p>
    <w:p w14:paraId="12DE9265"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11</w:t>
      </w:r>
      <w:r w:rsidRPr="00F47BA9">
        <w:rPr>
          <w:rFonts w:ascii="Times New Roman" w:eastAsia="仿宋" w:hAnsi="Times New Roman" w:hint="eastAsia"/>
          <w:bCs/>
          <w:sz w:val="24"/>
          <w:lang w:eastAsia="zh-CN"/>
        </w:rPr>
        <w:t>、如有确凿证据表明按上述方法进行估值不能客观反映其公允价值的，基金管理人可根据具体情况与基金托管人商定后，按最能反映公允价值的价格估值。</w:t>
      </w:r>
    </w:p>
    <w:p w14:paraId="7FA2F0CC"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12</w:t>
      </w:r>
      <w:r w:rsidRPr="00F47BA9">
        <w:rPr>
          <w:rFonts w:ascii="Times New Roman" w:eastAsia="仿宋" w:hAnsi="Times New Roman" w:hint="eastAsia"/>
          <w:bCs/>
          <w:sz w:val="24"/>
          <w:lang w:eastAsia="zh-CN"/>
        </w:rPr>
        <w:t>、当发生大额申购或赎回情形时，基金管理人可以采用摆动定价机制，以确保基金估值的公平性。</w:t>
      </w:r>
    </w:p>
    <w:p w14:paraId="28FCC696"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13</w:t>
      </w:r>
      <w:r w:rsidRPr="00F47BA9">
        <w:rPr>
          <w:rFonts w:ascii="Times New Roman" w:eastAsia="仿宋" w:hAnsi="Times New Roman" w:hint="eastAsia"/>
          <w:bCs/>
          <w:sz w:val="24"/>
          <w:lang w:eastAsia="zh-CN"/>
        </w:rPr>
        <w:t>、相关法律法规以及监管部门有强制规定的，从其规定。如有新增事项，按国家最新规定估值。</w:t>
      </w:r>
    </w:p>
    <w:p w14:paraId="045B215E" w14:textId="77777777" w:rsidR="00FB20DE" w:rsidRPr="00F47BA9" w:rsidRDefault="00A6695E">
      <w:pPr>
        <w:spacing w:after="0" w:line="360" w:lineRule="auto"/>
        <w:ind w:firstLine="480"/>
        <w:rPr>
          <w:rFonts w:ascii="Times New Roman" w:eastAsia="仿宋" w:hAnsi="Times New Roman"/>
          <w:bCs/>
          <w:sz w:val="24"/>
          <w:lang w:eastAsia="zh-CN"/>
        </w:rPr>
      </w:pPr>
      <w:r w:rsidRPr="00F47BA9">
        <w:rPr>
          <w:rFonts w:ascii="Times New Roman" w:eastAsia="仿宋" w:hAnsi="Times New Roman" w:hint="eastAsia"/>
          <w:bCs/>
          <w:sz w:val="24"/>
          <w:lang w:eastAsia="zh-CN"/>
        </w:rPr>
        <w:t>如基金管理人或基金托管人发现基金估值违反基金合同订明的估值方法、程序及相关法律法规的规定或者未能充分维护基金份额持有人利益时，应立即通知对方，共同查明原因，双方协商解决。</w:t>
      </w:r>
    </w:p>
    <w:p w14:paraId="371BC174"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bCs/>
          <w:sz w:val="24"/>
          <w:lang w:eastAsia="zh-CN"/>
        </w:rPr>
        <w:t>根据有关法律法规，基金资产净值计算和基金会计核算的义务由基金管理人承担。本基金的基金会计</w:t>
      </w:r>
      <w:proofErr w:type="gramStart"/>
      <w:r w:rsidRPr="00F47BA9">
        <w:rPr>
          <w:rFonts w:ascii="Times New Roman" w:eastAsia="仿宋" w:hAnsi="Times New Roman" w:hint="eastAsia"/>
          <w:bCs/>
          <w:sz w:val="24"/>
          <w:lang w:eastAsia="zh-CN"/>
        </w:rPr>
        <w:t>主责任</w:t>
      </w:r>
      <w:proofErr w:type="gramEnd"/>
      <w:r w:rsidRPr="00F47BA9">
        <w:rPr>
          <w:rFonts w:ascii="Times New Roman" w:eastAsia="仿宋" w:hAnsi="Times New Roman" w:hint="eastAsia"/>
          <w:bCs/>
          <w:sz w:val="24"/>
          <w:lang w:eastAsia="zh-CN"/>
        </w:rPr>
        <w:t>方由基金管理人担任，基金托管人承担复核责任。因此，就与本基金有关的会计问题，如经相关各方在平等基础上充分讨论后，仍无法达成一致的意见，按照基金管理人对基金净值的计算结果对外予以公布。</w:t>
      </w:r>
    </w:p>
    <w:p w14:paraId="3ED962B9"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（二）估值错误的处理</w:t>
      </w:r>
    </w:p>
    <w:p w14:paraId="34AD160B"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基金管理人和基金托管人将采取必要、适当、合理的措施确保基金资产估值的准确性、及时性。当任一类基金份额净值小数点后</w:t>
      </w: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位以内（含第</w:t>
      </w: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位）发生估值错误时，视为该类基金份额净值错误。</w:t>
      </w:r>
    </w:p>
    <w:p w14:paraId="6F337EBB"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基金合同的当事人应按照以下约定处理：</w:t>
      </w:r>
    </w:p>
    <w:p w14:paraId="2591CAD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、估值错误类型</w:t>
      </w:r>
    </w:p>
    <w:p w14:paraId="65204EBC"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237962F5"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上述估值错误的主要类型包括但不限于：资料申报差错、数据传输差错、数据计算差错、系统故障差错、下达指令差错等。</w:t>
      </w:r>
    </w:p>
    <w:p w14:paraId="02D6109F"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lastRenderedPageBreak/>
        <w:t>2</w:t>
      </w:r>
      <w:r w:rsidRPr="00F47BA9">
        <w:rPr>
          <w:rFonts w:ascii="Times New Roman" w:eastAsia="仿宋" w:hAnsi="Times New Roman" w:hint="eastAsia"/>
          <w:sz w:val="24"/>
          <w:lang w:eastAsia="zh-CN"/>
        </w:rPr>
        <w:t>、估值错误处理原则</w:t>
      </w:r>
    </w:p>
    <w:p w14:paraId="69485F67"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1880E2BE"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）估值错误的责任方对有关当事人的直接损失负责，不对间接损失负责，并且仅对估值错误的有关直接当事人负责，不对第三方负责。</w:t>
      </w:r>
    </w:p>
    <w:p w14:paraId="238741DB"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）因估值错误而获得不当得利的当事人负有及时返还不当得利的义务。但估值错误责任方仍应对估值错误负责。如果由于获得不当得利的当事人</w:t>
      </w:r>
      <w:proofErr w:type="gramStart"/>
      <w:r w:rsidRPr="00F47BA9">
        <w:rPr>
          <w:rFonts w:ascii="Times New Roman" w:eastAsia="仿宋" w:hAnsi="Times New Roman" w:hint="eastAsia"/>
          <w:sz w:val="24"/>
          <w:lang w:eastAsia="zh-CN"/>
        </w:rPr>
        <w:t>不</w:t>
      </w:r>
      <w:proofErr w:type="gramEnd"/>
      <w:r w:rsidRPr="00F47BA9">
        <w:rPr>
          <w:rFonts w:ascii="Times New Roman" w:eastAsia="仿宋" w:hAnsi="Times New Roman" w:hint="eastAsia"/>
          <w:sz w:val="24"/>
          <w:lang w:eastAsia="zh-CN"/>
        </w:rPr>
        <w:t>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16F63631"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）估值错误调整采用尽量恢复至假设未发生估值错误的正确情形的方式。</w:t>
      </w:r>
    </w:p>
    <w:p w14:paraId="7E89C226"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、估值错误处理程序</w:t>
      </w:r>
    </w:p>
    <w:p w14:paraId="05EA2F8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估值错误被发现后，有关的当事人应当及时进行处理，处理的程序如下：</w:t>
      </w:r>
    </w:p>
    <w:p w14:paraId="042E3479"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）查明估值错误发生的原因，列明所有的当事人，并根据估值错误发生的原因确定估值错误的责任方；</w:t>
      </w:r>
    </w:p>
    <w:p w14:paraId="7B9FC50B"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）根据估值错误处理原则或当事人协商的方法对因估值错误造成的损失进行评估；</w:t>
      </w:r>
    </w:p>
    <w:p w14:paraId="3B5734F3"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）根据估值错误处理原则或当事人协商的方法由估值错误的责任方进行更正和赔偿损失；</w:t>
      </w:r>
    </w:p>
    <w:p w14:paraId="1B97352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）根据估值错误处理的方法，需要修改基金登记机构交易数据的，由基金登记机构进行更正，并就估值错误的更正向有关当事人进行确认。</w:t>
      </w:r>
    </w:p>
    <w:p w14:paraId="12DF0212"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、基金份额净值估值错误处理的方法如下：</w:t>
      </w:r>
    </w:p>
    <w:p w14:paraId="105F2B6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lastRenderedPageBreak/>
        <w:t>（</w:t>
      </w: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）基金份额净值计算出现错误时，基金管理人应当立即予以纠正，通报基金托管人，并采取合理的措施防止损失进一步扩大。</w:t>
      </w:r>
    </w:p>
    <w:p w14:paraId="2E10F77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）错误偏差达到该类基金份额净值的</w:t>
      </w:r>
      <w:r w:rsidRPr="00F47BA9">
        <w:rPr>
          <w:rFonts w:ascii="Times New Roman" w:eastAsia="仿宋" w:hAnsi="Times New Roman" w:hint="eastAsia"/>
          <w:sz w:val="24"/>
          <w:lang w:eastAsia="zh-CN"/>
        </w:rPr>
        <w:t>0.25%</w:t>
      </w:r>
      <w:r w:rsidRPr="00F47BA9">
        <w:rPr>
          <w:rFonts w:ascii="Times New Roman" w:eastAsia="仿宋" w:hAnsi="Times New Roman" w:hint="eastAsia"/>
          <w:sz w:val="24"/>
          <w:lang w:eastAsia="zh-CN"/>
        </w:rPr>
        <w:t>时，基金管理人应当通报基金托管人并报中国证监会备案；错误偏差达到该类基金份额净值的</w:t>
      </w:r>
      <w:r w:rsidRPr="00F47BA9">
        <w:rPr>
          <w:rFonts w:ascii="Times New Roman" w:eastAsia="仿宋" w:hAnsi="Times New Roman" w:hint="eastAsia"/>
          <w:sz w:val="24"/>
          <w:lang w:eastAsia="zh-CN"/>
        </w:rPr>
        <w:t>0.5%</w:t>
      </w:r>
      <w:r w:rsidRPr="00F47BA9">
        <w:rPr>
          <w:rFonts w:ascii="Times New Roman" w:eastAsia="仿宋" w:hAnsi="Times New Roman" w:hint="eastAsia"/>
          <w:sz w:val="24"/>
          <w:lang w:eastAsia="zh-CN"/>
        </w:rPr>
        <w:t>时，基金管理人应当公告，并报中国证监会备案。</w:t>
      </w:r>
    </w:p>
    <w:p w14:paraId="5BF28365"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）前述内容如法律法规或监管机关另有规定的，从其规定处理。</w:t>
      </w:r>
    </w:p>
    <w:p w14:paraId="01A79A81" w14:textId="77777777" w:rsidR="00FB20DE" w:rsidRPr="00F47BA9" w:rsidRDefault="00A6695E">
      <w:pPr>
        <w:spacing w:after="0" w:line="360" w:lineRule="auto"/>
        <w:ind w:firstLine="480"/>
        <w:rPr>
          <w:rFonts w:ascii="Times New Roman" w:eastAsia="仿宋" w:hAnsi="Times New Roman"/>
          <w:sz w:val="24"/>
          <w:lang w:eastAsia="zh-CN"/>
        </w:rPr>
      </w:pPr>
      <w:bookmarkStart w:id="70" w:name="_Toc125892445"/>
      <w:bookmarkStart w:id="71" w:name="_Toc466788859"/>
      <w:bookmarkStart w:id="72" w:name="_Toc22454461"/>
      <w:bookmarkStart w:id="73" w:name="_Toc523830000"/>
      <w:r w:rsidRPr="00F47BA9">
        <w:rPr>
          <w:rFonts w:ascii="Times New Roman" w:eastAsia="仿宋" w:hAnsi="Times New Roman" w:hint="eastAsia"/>
          <w:sz w:val="24"/>
          <w:lang w:eastAsia="zh-CN"/>
        </w:rPr>
        <w:t>5</w:t>
      </w:r>
      <w:r w:rsidRPr="00F47BA9">
        <w:rPr>
          <w:rFonts w:ascii="Times New Roman" w:eastAsia="仿宋" w:hAnsi="Times New Roman" w:hint="eastAsia"/>
          <w:sz w:val="24"/>
          <w:lang w:eastAsia="zh-CN"/>
        </w:rPr>
        <w:t>、特殊情形的处理</w:t>
      </w:r>
    </w:p>
    <w:p w14:paraId="15DEEE0E"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w:t>
      </w:r>
      <w:r w:rsidRPr="00F47BA9">
        <w:rPr>
          <w:rFonts w:ascii="Times New Roman" w:eastAsia="仿宋" w:hAnsi="Times New Roman"/>
          <w:bCs/>
          <w:sz w:val="24"/>
          <w:lang w:eastAsia="zh-CN"/>
        </w:rPr>
        <w:t>基金管理人或基金托管人按估值方法</w:t>
      </w:r>
      <w:r w:rsidRPr="00F47BA9">
        <w:rPr>
          <w:rFonts w:ascii="Times New Roman" w:eastAsia="仿宋" w:hAnsi="Times New Roman" w:hint="eastAsia"/>
          <w:bCs/>
          <w:sz w:val="24"/>
          <w:lang w:eastAsia="zh-CN"/>
        </w:rPr>
        <w:t>第</w:t>
      </w:r>
      <w:r w:rsidRPr="00F47BA9">
        <w:rPr>
          <w:rFonts w:ascii="Times New Roman" w:eastAsia="仿宋" w:hAnsi="Times New Roman"/>
          <w:bCs/>
          <w:sz w:val="24"/>
          <w:lang w:eastAsia="zh-CN"/>
        </w:rPr>
        <w:t>11</w:t>
      </w:r>
      <w:r w:rsidRPr="00F47BA9">
        <w:rPr>
          <w:rFonts w:ascii="Times New Roman" w:eastAsia="仿宋" w:hAnsi="Times New Roman" w:hint="eastAsia"/>
          <w:bCs/>
          <w:sz w:val="24"/>
          <w:lang w:eastAsia="zh-CN"/>
        </w:rPr>
        <w:t>项条款进行估值时，所造成的误差不作为基金份额净值错误处理</w:t>
      </w:r>
      <w:r w:rsidRPr="00F47BA9">
        <w:rPr>
          <w:rFonts w:ascii="Times New Roman" w:eastAsia="仿宋" w:hAnsi="Times New Roman" w:hint="eastAsia"/>
          <w:sz w:val="24"/>
          <w:lang w:eastAsia="zh-CN"/>
        </w:rPr>
        <w:t>。</w:t>
      </w:r>
    </w:p>
    <w:p w14:paraId="245F427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）由于不可抗力原因，或由于证券</w:t>
      </w: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期货交易所、证券</w:t>
      </w: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期货经纪机构、基金管理公司、登记结算公司、第三方估值基准服务机构及存款银行等第三方机构发送的数据错误、遗漏，或国家会计政策变更、市场规则变更等</w:t>
      </w:r>
      <w:proofErr w:type="gramStart"/>
      <w:r w:rsidRPr="00F47BA9">
        <w:rPr>
          <w:rFonts w:ascii="Times New Roman" w:eastAsia="仿宋" w:hAnsi="Times New Roman" w:hint="eastAsia"/>
          <w:sz w:val="24"/>
          <w:lang w:eastAsia="zh-CN"/>
        </w:rPr>
        <w:t>非基金</w:t>
      </w:r>
      <w:proofErr w:type="gramEnd"/>
      <w:r w:rsidRPr="00F47BA9">
        <w:rPr>
          <w:rFonts w:ascii="Times New Roman" w:eastAsia="仿宋" w:hAnsi="Times New Roman" w:hint="eastAsia"/>
          <w:sz w:val="24"/>
          <w:lang w:eastAsia="zh-CN"/>
        </w:rPr>
        <w:t>管理人与基金托管人原因，基金管理人和基金托管人虽然已经采取必要、适当、合理的措施进行检查，但是未能发现该错误或因上述原因而未能避免错误发生的，由此造成的基金资产估值错误，基金管理人和基金托管人免除赔偿责任，但基金管理人和基金托管人应当积极采取必要的措施消除或减轻由此造成的影响。</w:t>
      </w:r>
    </w:p>
    <w:p w14:paraId="75868B9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6</w:t>
      </w:r>
      <w:r w:rsidRPr="00F47BA9">
        <w:rPr>
          <w:rFonts w:ascii="Times New Roman" w:eastAsia="仿宋" w:hAnsi="Times New Roman" w:hint="eastAsia"/>
          <w:sz w:val="24"/>
          <w:lang w:eastAsia="zh-CN"/>
        </w:rPr>
        <w:t>、实施</w:t>
      </w:r>
      <w:proofErr w:type="gramStart"/>
      <w:r w:rsidRPr="00F47BA9">
        <w:rPr>
          <w:rFonts w:ascii="Times New Roman" w:eastAsia="仿宋" w:hAnsi="Times New Roman" w:hint="eastAsia"/>
          <w:sz w:val="24"/>
          <w:lang w:eastAsia="zh-CN"/>
        </w:rPr>
        <w:t>侧袋机制</w:t>
      </w:r>
      <w:proofErr w:type="gramEnd"/>
      <w:r w:rsidRPr="00F47BA9">
        <w:rPr>
          <w:rFonts w:ascii="Times New Roman" w:eastAsia="仿宋" w:hAnsi="Times New Roman" w:hint="eastAsia"/>
          <w:sz w:val="24"/>
          <w:lang w:eastAsia="zh-CN"/>
        </w:rPr>
        <w:t>期间的基金资产估值</w:t>
      </w:r>
    </w:p>
    <w:p w14:paraId="45A6F232"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本基金实施</w:t>
      </w:r>
      <w:proofErr w:type="gramStart"/>
      <w:r w:rsidRPr="00F47BA9">
        <w:rPr>
          <w:rFonts w:ascii="Times New Roman" w:eastAsia="仿宋" w:hAnsi="Times New Roman" w:hint="eastAsia"/>
          <w:sz w:val="24"/>
          <w:lang w:eastAsia="zh-CN"/>
        </w:rPr>
        <w:t>侧袋机制</w:t>
      </w:r>
      <w:proofErr w:type="gramEnd"/>
      <w:r w:rsidRPr="00F47BA9">
        <w:rPr>
          <w:rFonts w:ascii="Times New Roman" w:eastAsia="仿宋" w:hAnsi="Times New Roman" w:hint="eastAsia"/>
          <w:sz w:val="24"/>
          <w:lang w:eastAsia="zh-CN"/>
        </w:rPr>
        <w:t>的，应根据本部分的约定</w:t>
      </w:r>
      <w:proofErr w:type="gramStart"/>
      <w:r w:rsidRPr="00F47BA9">
        <w:rPr>
          <w:rFonts w:ascii="Times New Roman" w:eastAsia="仿宋" w:hAnsi="Times New Roman" w:hint="eastAsia"/>
          <w:sz w:val="24"/>
          <w:lang w:eastAsia="zh-CN"/>
        </w:rPr>
        <w:t>对主袋账户</w:t>
      </w:r>
      <w:proofErr w:type="gramEnd"/>
      <w:r w:rsidRPr="00F47BA9">
        <w:rPr>
          <w:rFonts w:ascii="Times New Roman" w:eastAsia="仿宋" w:hAnsi="Times New Roman" w:hint="eastAsia"/>
          <w:sz w:val="24"/>
          <w:lang w:eastAsia="zh-CN"/>
        </w:rPr>
        <w:t>资产进行估值并</w:t>
      </w:r>
      <w:proofErr w:type="gramStart"/>
      <w:r w:rsidRPr="00F47BA9">
        <w:rPr>
          <w:rFonts w:ascii="Times New Roman" w:eastAsia="仿宋" w:hAnsi="Times New Roman" w:hint="eastAsia"/>
          <w:sz w:val="24"/>
          <w:lang w:eastAsia="zh-CN"/>
        </w:rPr>
        <w:t>披露主袋账户</w:t>
      </w:r>
      <w:proofErr w:type="gramEnd"/>
      <w:r w:rsidRPr="00F47BA9">
        <w:rPr>
          <w:rFonts w:ascii="Times New Roman" w:eastAsia="仿宋" w:hAnsi="Times New Roman" w:hint="eastAsia"/>
          <w:sz w:val="24"/>
          <w:lang w:eastAsia="zh-CN"/>
        </w:rPr>
        <w:t>的各类基金份额净值和基金份额累计净值，暂停</w:t>
      </w:r>
      <w:proofErr w:type="gramStart"/>
      <w:r w:rsidRPr="00F47BA9">
        <w:rPr>
          <w:rFonts w:ascii="Times New Roman" w:eastAsia="仿宋" w:hAnsi="Times New Roman" w:hint="eastAsia"/>
          <w:sz w:val="24"/>
          <w:lang w:eastAsia="zh-CN"/>
        </w:rPr>
        <w:t>披露侧袋账户</w:t>
      </w:r>
      <w:proofErr w:type="gramEnd"/>
      <w:r w:rsidRPr="00F47BA9">
        <w:rPr>
          <w:rFonts w:ascii="Times New Roman" w:eastAsia="仿宋" w:hAnsi="Times New Roman" w:hint="eastAsia"/>
          <w:sz w:val="24"/>
          <w:lang w:eastAsia="zh-CN"/>
        </w:rPr>
        <w:t>的基金净值信息。</w:t>
      </w:r>
      <w:bookmarkEnd w:id="69"/>
    </w:p>
    <w:p w14:paraId="30A63677"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（三）基金会计制度</w:t>
      </w:r>
    </w:p>
    <w:p w14:paraId="738445F3"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按国家有关部门制定的会计制度执行。</w:t>
      </w:r>
    </w:p>
    <w:p w14:paraId="347C697F"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（四）基金账册的建立</w:t>
      </w:r>
    </w:p>
    <w:p w14:paraId="23E80E7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和基金托管人在《基金合同》生效后，应按照双方约定的同一记账方法和会计处理原则，分别独立地设置、登录和保管本基金的全套账册，对双方各自的账册定期进行核对，互相监督，以保证基金财产的安全。若双方对会计处理方法存在分歧，应以基金管理人的处理方法为准。</w:t>
      </w:r>
    </w:p>
    <w:p w14:paraId="187FE990"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（五）会计数据和财务指标的核对</w:t>
      </w:r>
    </w:p>
    <w:p w14:paraId="7E2FF63A"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双方</w:t>
      </w:r>
      <w:proofErr w:type="gramStart"/>
      <w:r w:rsidRPr="00F47BA9">
        <w:rPr>
          <w:rFonts w:ascii="Times New Roman" w:eastAsia="仿宋" w:hAnsi="Times New Roman" w:hint="eastAsia"/>
          <w:sz w:val="24"/>
          <w:lang w:eastAsia="zh-CN"/>
        </w:rPr>
        <w:t>应每个</w:t>
      </w:r>
      <w:proofErr w:type="gramEnd"/>
      <w:r w:rsidRPr="00F47BA9">
        <w:rPr>
          <w:rFonts w:ascii="Times New Roman" w:eastAsia="仿宋" w:hAnsi="Times New Roman" w:hint="eastAsia"/>
          <w:sz w:val="24"/>
          <w:lang w:eastAsia="zh-CN"/>
        </w:rPr>
        <w:t>工作日核对账目，如发现双方的账目存在不符的，基金管理人</w:t>
      </w:r>
      <w:r w:rsidRPr="00F47BA9">
        <w:rPr>
          <w:rFonts w:ascii="Times New Roman" w:eastAsia="仿宋" w:hAnsi="Times New Roman" w:hint="eastAsia"/>
          <w:sz w:val="24"/>
          <w:lang w:eastAsia="zh-CN"/>
        </w:rPr>
        <w:lastRenderedPageBreak/>
        <w:t>和基金托管人必须及时查明原因并纠正，确保核对一致。若当日核对不符，暂时无法查找到错账的原因而影响到基金净值信息的计算和公告的，以基金管理人的账册为准。</w:t>
      </w:r>
    </w:p>
    <w:p w14:paraId="110602C3"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（六）基金定期报告的编制和复核</w:t>
      </w:r>
    </w:p>
    <w:p w14:paraId="2EA4B7B3"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基金财务报表由基金管理人和基金托管人每</w:t>
      </w:r>
      <w:proofErr w:type="gramStart"/>
      <w:r w:rsidRPr="00F47BA9">
        <w:rPr>
          <w:rFonts w:ascii="Times New Roman" w:eastAsia="仿宋" w:hAnsi="Times New Roman" w:hint="eastAsia"/>
          <w:sz w:val="24"/>
          <w:lang w:eastAsia="zh-CN"/>
        </w:rPr>
        <w:t>月分别独立</w:t>
      </w:r>
      <w:proofErr w:type="gramEnd"/>
      <w:r w:rsidRPr="00F47BA9">
        <w:rPr>
          <w:rFonts w:ascii="Times New Roman" w:eastAsia="仿宋" w:hAnsi="Times New Roman" w:hint="eastAsia"/>
          <w:sz w:val="24"/>
          <w:lang w:eastAsia="zh-CN"/>
        </w:rPr>
        <w:t>编制。月度报表的编制，应于每月终了后</w:t>
      </w:r>
      <w:r w:rsidRPr="00F47BA9">
        <w:rPr>
          <w:rFonts w:ascii="Times New Roman" w:eastAsia="仿宋" w:hAnsi="Times New Roman"/>
          <w:sz w:val="24"/>
          <w:lang w:eastAsia="zh-CN"/>
        </w:rPr>
        <w:t>5</w:t>
      </w:r>
      <w:r w:rsidRPr="00F47BA9">
        <w:rPr>
          <w:rFonts w:ascii="Times New Roman" w:eastAsia="仿宋" w:hAnsi="Times New Roman" w:hint="eastAsia"/>
          <w:sz w:val="24"/>
          <w:lang w:eastAsia="zh-CN"/>
        </w:rPr>
        <w:t>个工作日内完成。定期报告文件应按中国证监会的要求公告。</w:t>
      </w:r>
    </w:p>
    <w:p w14:paraId="00282519"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在《基金合同》生效后，基金招募说明书、基金产品资料概要的信息发生重大变更的，基金管理人应在</w:t>
      </w: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个工作日内，更新基金招募</w:t>
      </w:r>
      <w:r w:rsidRPr="00F47BA9">
        <w:rPr>
          <w:rFonts w:ascii="Times New Roman" w:eastAsia="仿宋" w:hAnsi="Times New Roman"/>
          <w:sz w:val="24"/>
          <w:lang w:eastAsia="zh-CN"/>
        </w:rPr>
        <w:t>说明书</w:t>
      </w:r>
      <w:r w:rsidRPr="00F47BA9">
        <w:rPr>
          <w:rFonts w:ascii="Times New Roman" w:eastAsia="仿宋" w:hAnsi="Times New Roman" w:hint="eastAsia"/>
          <w:sz w:val="24"/>
          <w:lang w:eastAsia="zh-CN"/>
        </w:rPr>
        <w:t>和基金产品资料概要，并登载</w:t>
      </w:r>
      <w:r w:rsidRPr="00F47BA9">
        <w:rPr>
          <w:rFonts w:ascii="Times New Roman" w:eastAsia="仿宋" w:hAnsi="Times New Roman"/>
          <w:sz w:val="24"/>
          <w:lang w:eastAsia="zh-CN"/>
        </w:rPr>
        <w:t>在</w:t>
      </w:r>
      <w:r w:rsidRPr="00F47BA9">
        <w:rPr>
          <w:rFonts w:ascii="Times New Roman" w:eastAsia="仿宋" w:hAnsi="Times New Roman" w:hint="eastAsia"/>
          <w:sz w:val="24"/>
          <w:lang w:eastAsia="zh-CN"/>
        </w:rPr>
        <w:t>规定</w:t>
      </w:r>
      <w:r w:rsidRPr="00F47BA9">
        <w:rPr>
          <w:rFonts w:ascii="Times New Roman" w:eastAsia="仿宋" w:hAnsi="Times New Roman"/>
          <w:sz w:val="24"/>
          <w:lang w:eastAsia="zh-CN"/>
        </w:rPr>
        <w:t>网站上</w:t>
      </w:r>
      <w:r w:rsidRPr="00F47BA9">
        <w:rPr>
          <w:rFonts w:ascii="Times New Roman" w:eastAsia="仿宋" w:hAnsi="Times New Roman" w:hint="eastAsia"/>
          <w:sz w:val="24"/>
          <w:lang w:eastAsia="zh-CN"/>
        </w:rPr>
        <w:t>，其中基金产品资料概要还应当登载在基金销售机构网站或营业网点</w:t>
      </w:r>
      <w:r w:rsidRPr="00F47BA9">
        <w:rPr>
          <w:rFonts w:ascii="Times New Roman" w:eastAsia="仿宋" w:hAnsi="Times New Roman"/>
          <w:sz w:val="24"/>
          <w:lang w:eastAsia="zh-CN"/>
        </w:rPr>
        <w:t>。</w:t>
      </w:r>
      <w:r w:rsidRPr="00F47BA9">
        <w:rPr>
          <w:rFonts w:ascii="Times New Roman" w:eastAsia="仿宋" w:hAnsi="Times New Roman" w:hint="eastAsia"/>
          <w:sz w:val="24"/>
          <w:lang w:eastAsia="zh-CN"/>
        </w:rPr>
        <w:t>除重大变更之外，基金招募说明书和基金产品资料概要其他信息发生变更的，基金管理人至少每年更新一次。基金终止运作的，基金管理人可以不再更新基金招募说明书和基金产品资料概要。基金管理人在每个季度结束之日起</w:t>
      </w:r>
      <w:r w:rsidRPr="00F47BA9">
        <w:rPr>
          <w:rFonts w:ascii="Times New Roman" w:eastAsia="仿宋" w:hAnsi="Times New Roman" w:hint="eastAsia"/>
          <w:sz w:val="24"/>
          <w:lang w:eastAsia="zh-CN"/>
        </w:rPr>
        <w:t>15</w:t>
      </w:r>
      <w:r w:rsidRPr="00F47BA9">
        <w:rPr>
          <w:rFonts w:ascii="Times New Roman" w:eastAsia="仿宋" w:hAnsi="Times New Roman" w:hint="eastAsia"/>
          <w:sz w:val="24"/>
          <w:lang w:eastAsia="zh-CN"/>
        </w:rPr>
        <w:t>个工作日内完成季度报告编制并公告；在上半年</w:t>
      </w:r>
      <w:r w:rsidRPr="00F47BA9">
        <w:rPr>
          <w:rFonts w:ascii="Times New Roman" w:eastAsia="仿宋" w:hAnsi="Times New Roman"/>
          <w:sz w:val="24"/>
          <w:lang w:eastAsia="zh-CN"/>
        </w:rPr>
        <w:t>结束之日</w:t>
      </w:r>
      <w:r w:rsidRPr="00F47BA9">
        <w:rPr>
          <w:rFonts w:ascii="Times New Roman" w:eastAsia="仿宋" w:hAnsi="Times New Roman" w:hint="eastAsia"/>
          <w:sz w:val="24"/>
          <w:lang w:eastAsia="zh-CN"/>
        </w:rPr>
        <w:t>起两个月内完成中期报告编制并公告；在每年</w:t>
      </w:r>
      <w:r w:rsidRPr="00F47BA9">
        <w:rPr>
          <w:rFonts w:ascii="Times New Roman" w:eastAsia="仿宋" w:hAnsi="Times New Roman"/>
          <w:sz w:val="24"/>
          <w:lang w:eastAsia="zh-CN"/>
        </w:rPr>
        <w:t>结束之日起</w:t>
      </w:r>
      <w:r w:rsidRPr="00F47BA9">
        <w:rPr>
          <w:rFonts w:ascii="Times New Roman" w:eastAsia="仿宋" w:hAnsi="Times New Roman" w:hint="eastAsia"/>
          <w:sz w:val="24"/>
          <w:lang w:eastAsia="zh-CN"/>
        </w:rPr>
        <w:t>三</w:t>
      </w:r>
      <w:r w:rsidRPr="00F47BA9">
        <w:rPr>
          <w:rFonts w:ascii="Times New Roman" w:eastAsia="仿宋" w:hAnsi="Times New Roman"/>
          <w:sz w:val="24"/>
          <w:lang w:eastAsia="zh-CN"/>
        </w:rPr>
        <w:t>个月</w:t>
      </w:r>
      <w:r w:rsidRPr="00F47BA9">
        <w:rPr>
          <w:rFonts w:ascii="Times New Roman" w:eastAsia="仿宋" w:hAnsi="Times New Roman" w:hint="eastAsia"/>
          <w:sz w:val="24"/>
          <w:lang w:eastAsia="zh-CN"/>
        </w:rPr>
        <w:t>内完成年度报告编制并公告。基金合同生效不足两个月的，基金管理人可以不编制当期季度报告、中期报告或者年度报告。</w:t>
      </w:r>
    </w:p>
    <w:p w14:paraId="1F23E61C"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基金管理人在月初</w:t>
      </w:r>
      <w:r w:rsidRPr="00F47BA9">
        <w:rPr>
          <w:rFonts w:ascii="Times New Roman" w:eastAsia="仿宋" w:hAnsi="Times New Roman"/>
          <w:sz w:val="24"/>
          <w:lang w:eastAsia="zh-CN"/>
        </w:rPr>
        <w:t>3</w:t>
      </w:r>
      <w:proofErr w:type="gramStart"/>
      <w:r w:rsidRPr="00F47BA9">
        <w:rPr>
          <w:rFonts w:ascii="Times New Roman" w:eastAsia="仿宋" w:hAnsi="Times New Roman"/>
          <w:sz w:val="24"/>
          <w:lang w:eastAsia="zh-CN"/>
        </w:rPr>
        <w:t>个</w:t>
      </w:r>
      <w:proofErr w:type="gramEnd"/>
      <w:r w:rsidRPr="00F47BA9">
        <w:rPr>
          <w:rFonts w:ascii="Times New Roman" w:eastAsia="仿宋" w:hAnsi="Times New Roman"/>
          <w:sz w:val="24"/>
          <w:lang w:eastAsia="zh-CN"/>
        </w:rPr>
        <w:t>工作日内完成上月度报表的编制，</w:t>
      </w:r>
      <w:r w:rsidRPr="00F47BA9">
        <w:rPr>
          <w:rFonts w:ascii="Times New Roman" w:eastAsia="仿宋" w:hAnsi="Times New Roman" w:hint="eastAsia"/>
          <w:sz w:val="24"/>
          <w:lang w:eastAsia="zh-CN"/>
        </w:rPr>
        <w:t>以约定方式将有关报表提供基金托管人；基金托管人收到后在</w:t>
      </w:r>
      <w:r w:rsidRPr="00F47BA9">
        <w:rPr>
          <w:rFonts w:ascii="Times New Roman" w:eastAsia="仿宋" w:hAnsi="Times New Roman"/>
          <w:sz w:val="24"/>
          <w:lang w:eastAsia="zh-CN"/>
        </w:rPr>
        <w:t>2</w:t>
      </w:r>
      <w:r w:rsidRPr="00F47BA9">
        <w:rPr>
          <w:rFonts w:ascii="Times New Roman" w:eastAsia="仿宋" w:hAnsi="Times New Roman" w:hint="eastAsia"/>
          <w:sz w:val="24"/>
          <w:lang w:eastAsia="zh-CN"/>
        </w:rPr>
        <w:t>个工作日内进行复核，并将复核结果及时书面或双方约定的其他方式通知基金管理人。对于季度报告、中期报告、年度报告、更新招募说明书和基金产品资料概要等，基金管理人和基金托管人应在上述监管部门规定的时间内完成编制、复核及公告。基金托管人在复核过程中，发现双方的报表存在不符时，基金管理人和基金托管人应共同查明原因，进行调整，调整以双方认可的账务处理方式为准。如果基金管理人与基金托管人不能</w:t>
      </w:r>
      <w:proofErr w:type="gramStart"/>
      <w:r w:rsidRPr="00F47BA9">
        <w:rPr>
          <w:rFonts w:ascii="Times New Roman" w:eastAsia="仿宋" w:hAnsi="Times New Roman" w:hint="eastAsia"/>
          <w:sz w:val="24"/>
          <w:lang w:eastAsia="zh-CN"/>
        </w:rPr>
        <w:t>于应当</w:t>
      </w:r>
      <w:proofErr w:type="gramEnd"/>
      <w:r w:rsidRPr="00F47BA9">
        <w:rPr>
          <w:rFonts w:ascii="Times New Roman" w:eastAsia="仿宋" w:hAnsi="Times New Roman" w:hint="eastAsia"/>
          <w:sz w:val="24"/>
          <w:lang w:eastAsia="zh-CN"/>
        </w:rPr>
        <w:t>发布公告之日前就相关报表达成一致，基金管理人有权按照其编制的报表对外发布公告，基金托管人有权就相关情况报中国证监会备案。</w:t>
      </w:r>
    </w:p>
    <w:p w14:paraId="3F3F723A"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基金托管人在对财务报表、季度报告、中期报告或年度报告复核完毕后，需向基金管理人进行书面或电子确认，以</w:t>
      </w:r>
      <w:proofErr w:type="gramStart"/>
      <w:r w:rsidRPr="00F47BA9">
        <w:rPr>
          <w:rFonts w:ascii="Times New Roman" w:eastAsia="仿宋" w:hAnsi="Times New Roman" w:hint="eastAsia"/>
          <w:sz w:val="24"/>
          <w:lang w:eastAsia="zh-CN"/>
        </w:rPr>
        <w:t>备有权</w:t>
      </w:r>
      <w:proofErr w:type="gramEnd"/>
      <w:r w:rsidRPr="00F47BA9">
        <w:rPr>
          <w:rFonts w:ascii="Times New Roman" w:eastAsia="仿宋" w:hAnsi="Times New Roman" w:hint="eastAsia"/>
          <w:sz w:val="24"/>
          <w:lang w:eastAsia="zh-CN"/>
        </w:rPr>
        <w:t>机构对相关文件审核检查。</w:t>
      </w:r>
    </w:p>
    <w:p w14:paraId="000DE9D3" w14:textId="77777777" w:rsidR="00FB20DE" w:rsidRPr="00F47BA9" w:rsidRDefault="00A6695E">
      <w:pPr>
        <w:pStyle w:val="1"/>
        <w:pageBreakBefore/>
        <w:jc w:val="center"/>
        <w:rPr>
          <w:rFonts w:ascii="Times New Roman" w:eastAsia="仿宋" w:hAnsi="Times New Roman"/>
          <w:color w:val="auto"/>
          <w:lang w:eastAsia="zh-CN"/>
        </w:rPr>
      </w:pPr>
      <w:bookmarkStart w:id="74" w:name="_Toc121842074"/>
      <w:r w:rsidRPr="00F47BA9">
        <w:rPr>
          <w:rFonts w:ascii="Times New Roman" w:eastAsia="仿宋" w:hAnsi="Times New Roman" w:hint="eastAsia"/>
          <w:color w:val="auto"/>
          <w:lang w:eastAsia="zh-CN"/>
        </w:rPr>
        <w:lastRenderedPageBreak/>
        <w:t>九、基金收益分配</w:t>
      </w:r>
      <w:bookmarkEnd w:id="70"/>
      <w:bookmarkEnd w:id="71"/>
      <w:bookmarkEnd w:id="72"/>
      <w:bookmarkEnd w:id="73"/>
      <w:bookmarkEnd w:id="74"/>
    </w:p>
    <w:p w14:paraId="30CFF375"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基金收益分配是指将本基金的可分配收益根据持有各类基金份额的数量按比例向基金份额持有人进行分配。</w:t>
      </w:r>
    </w:p>
    <w:p w14:paraId="34BBA500" w14:textId="77777777" w:rsidR="00FB20DE" w:rsidRPr="00F47BA9" w:rsidRDefault="00A6695E">
      <w:pPr>
        <w:spacing w:after="0" w:line="360" w:lineRule="auto"/>
        <w:ind w:firstLine="480"/>
        <w:rPr>
          <w:rFonts w:ascii="Times New Roman" w:eastAsia="仿宋" w:hAnsi="Times New Roman"/>
          <w:sz w:val="24"/>
          <w:lang w:eastAsia="zh-CN"/>
        </w:rPr>
      </w:pPr>
      <w:bookmarkStart w:id="75" w:name="OLE_LINK17"/>
      <w:r w:rsidRPr="00F47BA9">
        <w:rPr>
          <w:rFonts w:ascii="Times New Roman" w:eastAsia="仿宋" w:hAnsi="Times New Roman" w:hint="eastAsia"/>
          <w:sz w:val="24"/>
          <w:lang w:eastAsia="zh-CN"/>
        </w:rPr>
        <w:t>（一）基金收益分配应该符合基金合同中收益分配原则的规定，具体规定如下：</w:t>
      </w:r>
    </w:p>
    <w:p w14:paraId="1DB5BBC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、在符合有关基金分红条件的前提下，本基金管理人可以根据实际情况进行收益分配，具体分配方案以公告为准，若《基金合同》生效不满</w:t>
      </w: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个月可不进行收益分配；</w:t>
      </w:r>
    </w:p>
    <w:p w14:paraId="5FF1A5C5"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、本基金收益分配方式分两种：现金分红与红利再投资，投资者可选择现金红利或将现金红利自动转为相应类别的基金份额进行再投资，</w:t>
      </w:r>
      <w:proofErr w:type="gramStart"/>
      <w:r w:rsidRPr="00F47BA9">
        <w:rPr>
          <w:rFonts w:ascii="Times New Roman" w:eastAsia="仿宋" w:hAnsi="Times New Roman" w:hint="eastAsia"/>
          <w:sz w:val="24"/>
          <w:lang w:eastAsia="zh-CN"/>
        </w:rPr>
        <w:t>且基金</w:t>
      </w:r>
      <w:proofErr w:type="gramEnd"/>
      <w:r w:rsidRPr="00F47BA9">
        <w:rPr>
          <w:rFonts w:ascii="Times New Roman" w:eastAsia="仿宋" w:hAnsi="Times New Roman" w:hint="eastAsia"/>
          <w:sz w:val="24"/>
          <w:lang w:eastAsia="zh-CN"/>
        </w:rPr>
        <w:t>份额持有人可对</w:t>
      </w:r>
      <w:r w:rsidRPr="00F47BA9">
        <w:rPr>
          <w:rFonts w:ascii="Times New Roman" w:eastAsia="仿宋" w:hAnsi="Times New Roman" w:hint="eastAsia"/>
          <w:sz w:val="24"/>
          <w:lang w:eastAsia="zh-CN"/>
        </w:rPr>
        <w:t>A</w:t>
      </w:r>
      <w:r w:rsidRPr="00F47BA9">
        <w:rPr>
          <w:rFonts w:ascii="Times New Roman" w:eastAsia="仿宋" w:hAnsi="Times New Roman" w:hint="eastAsia"/>
          <w:sz w:val="24"/>
          <w:lang w:eastAsia="zh-CN"/>
        </w:rPr>
        <w:t>类、</w:t>
      </w:r>
      <w:r w:rsidRPr="00F47BA9">
        <w:rPr>
          <w:rFonts w:ascii="Times New Roman" w:eastAsia="仿宋" w:hAnsi="Times New Roman" w:hint="eastAsia"/>
          <w:sz w:val="24"/>
          <w:lang w:eastAsia="zh-CN"/>
        </w:rPr>
        <w:t>C</w:t>
      </w:r>
      <w:r w:rsidRPr="00F47BA9">
        <w:rPr>
          <w:rFonts w:ascii="Times New Roman" w:eastAsia="仿宋" w:hAnsi="Times New Roman" w:hint="eastAsia"/>
          <w:sz w:val="24"/>
          <w:lang w:eastAsia="zh-CN"/>
        </w:rPr>
        <w:t>类基金份额分别选择不同的分红方式；若投资者不选择，本基金默认的收益分配方式是现金分红；基金份额持有人持有的基金份额（原份额）所获得的红利再投资份额的持有期，按照原份额的持有期计算；</w:t>
      </w:r>
    </w:p>
    <w:p w14:paraId="547166A9"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、基金收益分配后各类基金份额净值不能低于面值，即基金收益分配基准日的各类基金份额净值减去每单位该类基金份额收益分配金额后不能低于面值；</w:t>
      </w:r>
    </w:p>
    <w:p w14:paraId="1D7C310C"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、由于本基金各基金份额类别的销售费用收取方式不同，各基金份额类别对应的可分配收益将有所不同；本基金同一类别每一基金份额享有同等分配权；</w:t>
      </w:r>
    </w:p>
    <w:p w14:paraId="4072500F"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5</w:t>
      </w:r>
      <w:r w:rsidRPr="00F47BA9">
        <w:rPr>
          <w:rFonts w:ascii="Times New Roman" w:eastAsia="仿宋" w:hAnsi="Times New Roman" w:hint="eastAsia"/>
          <w:sz w:val="24"/>
          <w:lang w:eastAsia="zh-CN"/>
        </w:rPr>
        <w:t>、法律法规或监管机关另有规定的，从其规定。</w:t>
      </w:r>
    </w:p>
    <w:p w14:paraId="7C7619DA" w14:textId="47ABF9BF"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在不违反法律法规的规定、《基金合同》的约定以及对基金份额持有人利益无实质性不利影响的前提下，基金管理人在履行适当程序后，可对基金收益分配原则进行调整。</w:t>
      </w:r>
    </w:p>
    <w:p w14:paraId="59CAA832" w14:textId="77777777" w:rsidR="00FB20DE" w:rsidRPr="00F47BA9" w:rsidRDefault="00A6695E">
      <w:pPr>
        <w:spacing w:after="0" w:line="360" w:lineRule="auto"/>
        <w:ind w:firstLine="480"/>
        <w:rPr>
          <w:rFonts w:ascii="Times New Roman" w:eastAsia="仿宋" w:hAnsi="Times New Roman"/>
          <w:sz w:val="24"/>
          <w:lang w:eastAsia="zh-CN"/>
        </w:rPr>
      </w:pPr>
      <w:bookmarkStart w:id="76" w:name="_Toc523830002"/>
      <w:bookmarkStart w:id="77" w:name="_Toc22454465"/>
      <w:bookmarkStart w:id="78" w:name="_Toc466788861"/>
      <w:r w:rsidRPr="00F47BA9">
        <w:rPr>
          <w:rFonts w:ascii="Times New Roman" w:eastAsia="仿宋" w:hAnsi="Times New Roman" w:hint="eastAsia"/>
          <w:sz w:val="24"/>
          <w:lang w:eastAsia="zh-CN"/>
        </w:rPr>
        <w:t>（二）基金收益分配方案的确定</w:t>
      </w:r>
      <w:r w:rsidRPr="00F47BA9">
        <w:rPr>
          <w:rFonts w:ascii="Times New Roman" w:eastAsia="仿宋" w:hAnsi="Times New Roman"/>
          <w:sz w:val="24"/>
          <w:lang w:eastAsia="zh-CN"/>
        </w:rPr>
        <w:t>与</w:t>
      </w:r>
      <w:r w:rsidRPr="00F47BA9">
        <w:rPr>
          <w:rFonts w:ascii="Times New Roman" w:eastAsia="仿宋" w:hAnsi="Times New Roman" w:hint="eastAsia"/>
          <w:sz w:val="24"/>
          <w:lang w:eastAsia="zh-CN"/>
        </w:rPr>
        <w:t>公告</w:t>
      </w:r>
    </w:p>
    <w:p w14:paraId="4EA36480"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本基金收益分配方案由基金管理人拟定，并由基金托管人复核，依照《信息披露办法》的有关规定在规定媒介公告</w:t>
      </w:r>
      <w:r w:rsidRPr="00F47BA9">
        <w:rPr>
          <w:rFonts w:ascii="Times New Roman" w:eastAsia="仿宋" w:hAnsi="Times New Roman"/>
          <w:sz w:val="24"/>
          <w:lang w:eastAsia="zh-CN"/>
        </w:rPr>
        <w:t>。</w:t>
      </w:r>
    </w:p>
    <w:p w14:paraId="6D535046"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（三）基金收益分配中发生的费用</w:t>
      </w:r>
    </w:p>
    <w:p w14:paraId="303B7C1A"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14:paraId="7514AFDC"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sz w:val="24"/>
          <w:lang w:eastAsia="zh-CN"/>
        </w:rPr>
        <w:lastRenderedPageBreak/>
        <w:t>（四）</w:t>
      </w:r>
      <w:r w:rsidRPr="00F47BA9">
        <w:rPr>
          <w:rFonts w:ascii="Times New Roman" w:eastAsia="仿宋" w:hAnsi="Times New Roman" w:hint="eastAsia"/>
          <w:sz w:val="24"/>
          <w:lang w:eastAsia="zh-CN"/>
        </w:rPr>
        <w:t>实施</w:t>
      </w:r>
      <w:proofErr w:type="gramStart"/>
      <w:r w:rsidRPr="00F47BA9">
        <w:rPr>
          <w:rFonts w:ascii="Times New Roman" w:eastAsia="仿宋" w:hAnsi="Times New Roman" w:hint="eastAsia"/>
          <w:sz w:val="24"/>
          <w:lang w:eastAsia="zh-CN"/>
        </w:rPr>
        <w:t>侧袋机制</w:t>
      </w:r>
      <w:proofErr w:type="gramEnd"/>
      <w:r w:rsidRPr="00F47BA9">
        <w:rPr>
          <w:rFonts w:ascii="Times New Roman" w:eastAsia="仿宋" w:hAnsi="Times New Roman" w:hint="eastAsia"/>
          <w:sz w:val="24"/>
          <w:lang w:eastAsia="zh-CN"/>
        </w:rPr>
        <w:t>期间的收益分配</w:t>
      </w:r>
    </w:p>
    <w:p w14:paraId="35AB7087"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本基金实施</w:t>
      </w:r>
      <w:proofErr w:type="gramStart"/>
      <w:r w:rsidRPr="00F47BA9">
        <w:rPr>
          <w:rFonts w:ascii="Times New Roman" w:eastAsia="仿宋" w:hAnsi="Times New Roman" w:hint="eastAsia"/>
          <w:sz w:val="24"/>
          <w:lang w:eastAsia="zh-CN"/>
        </w:rPr>
        <w:t>侧袋机制</w:t>
      </w:r>
      <w:proofErr w:type="gramEnd"/>
      <w:r w:rsidRPr="00F47BA9">
        <w:rPr>
          <w:rFonts w:ascii="Times New Roman" w:eastAsia="仿宋" w:hAnsi="Times New Roman" w:hint="eastAsia"/>
          <w:sz w:val="24"/>
          <w:lang w:eastAsia="zh-CN"/>
        </w:rPr>
        <w:t>的，</w:t>
      </w:r>
      <w:proofErr w:type="gramStart"/>
      <w:r w:rsidRPr="00F47BA9">
        <w:rPr>
          <w:rFonts w:ascii="Times New Roman" w:eastAsia="仿宋" w:hAnsi="Times New Roman" w:hint="eastAsia"/>
          <w:sz w:val="24"/>
          <w:lang w:eastAsia="zh-CN"/>
        </w:rPr>
        <w:t>侧袋账户</w:t>
      </w:r>
      <w:proofErr w:type="gramEnd"/>
      <w:r w:rsidRPr="00F47BA9">
        <w:rPr>
          <w:rFonts w:ascii="Times New Roman" w:eastAsia="仿宋" w:hAnsi="Times New Roman" w:hint="eastAsia"/>
          <w:sz w:val="24"/>
          <w:lang w:eastAsia="zh-CN"/>
        </w:rPr>
        <w:t>不进行收益分配，详见招募说明书的规定或相关公告。</w:t>
      </w:r>
      <w:bookmarkEnd w:id="75"/>
    </w:p>
    <w:p w14:paraId="0D08AA36" w14:textId="77777777" w:rsidR="00FB20DE" w:rsidRPr="00F47BA9" w:rsidRDefault="00FB20DE">
      <w:pPr>
        <w:spacing w:after="0" w:line="360" w:lineRule="auto"/>
        <w:ind w:firstLine="480"/>
        <w:rPr>
          <w:rFonts w:ascii="Times New Roman" w:eastAsia="仿宋" w:hAnsi="Times New Roman"/>
          <w:sz w:val="24"/>
          <w:lang w:eastAsia="zh-CN"/>
        </w:rPr>
      </w:pPr>
    </w:p>
    <w:p w14:paraId="207691D1" w14:textId="77777777" w:rsidR="00FB20DE" w:rsidRPr="00F47BA9" w:rsidRDefault="00A6695E">
      <w:pPr>
        <w:pStyle w:val="1"/>
        <w:pageBreakBefore/>
        <w:jc w:val="center"/>
        <w:rPr>
          <w:rFonts w:ascii="Times New Roman" w:eastAsia="仿宋" w:hAnsi="Times New Roman"/>
          <w:color w:val="auto"/>
          <w:lang w:eastAsia="zh-CN"/>
        </w:rPr>
      </w:pPr>
      <w:bookmarkStart w:id="79" w:name="_Toc121842075"/>
      <w:bookmarkStart w:id="80" w:name="_Toc125892446"/>
      <w:r w:rsidRPr="00F47BA9">
        <w:rPr>
          <w:rFonts w:ascii="Times New Roman" w:eastAsia="仿宋" w:hAnsi="Times New Roman" w:hint="eastAsia"/>
          <w:color w:val="auto"/>
          <w:lang w:eastAsia="zh-CN"/>
        </w:rPr>
        <w:lastRenderedPageBreak/>
        <w:t>十、基金信息披露</w:t>
      </w:r>
      <w:bookmarkEnd w:id="76"/>
      <w:bookmarkEnd w:id="77"/>
      <w:bookmarkEnd w:id="78"/>
      <w:bookmarkEnd w:id="79"/>
      <w:bookmarkEnd w:id="80"/>
    </w:p>
    <w:p w14:paraId="7FC4BB3D" w14:textId="77777777" w:rsidR="00FB20DE" w:rsidRPr="00F47BA9" w:rsidRDefault="00A6695E">
      <w:pPr>
        <w:spacing w:after="0" w:line="360" w:lineRule="auto"/>
        <w:ind w:firstLine="480"/>
        <w:rPr>
          <w:rFonts w:ascii="Times New Roman" w:eastAsia="仿宋" w:hAnsi="Times New Roman"/>
          <w:sz w:val="24"/>
          <w:lang w:eastAsia="zh-CN"/>
        </w:rPr>
      </w:pPr>
      <w:bookmarkStart w:id="81" w:name="_Toc22454466"/>
      <w:bookmarkStart w:id="82" w:name="_Toc77663026"/>
      <w:bookmarkStart w:id="83" w:name="_Toc125892447"/>
      <w:bookmarkStart w:id="84" w:name="_Toc466788862"/>
      <w:r w:rsidRPr="00F47BA9">
        <w:rPr>
          <w:rFonts w:ascii="Times New Roman" w:eastAsia="仿宋" w:hAnsi="Times New Roman" w:hint="eastAsia"/>
          <w:sz w:val="24"/>
          <w:lang w:eastAsia="zh-CN"/>
        </w:rPr>
        <w:t>（一）保密义务</w:t>
      </w:r>
      <w:bookmarkEnd w:id="81"/>
      <w:bookmarkEnd w:id="82"/>
    </w:p>
    <w:p w14:paraId="39501BD5"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除按照《基金法》、《运作办法》、《基金合同》、《信息披露办法》、《流动性风险管理规定》及中国证监会关于基金信息披露的有关规定进行披露以外，基金管理人和基金托管人对公开披露前的基金信息、从对方获得的业务信息及其他不宜公开披露的基金信息应予保密，不得向任何第三方泄露。法律法规另有规定的以及向监管机构、司法机关等有权机关提供或因审计、法律等外部专业顾问提供服务</w:t>
      </w:r>
      <w:r w:rsidRPr="00F47BA9">
        <w:rPr>
          <w:rFonts w:ascii="Times New Roman" w:eastAsia="仿宋" w:hAnsi="Times New Roman"/>
          <w:sz w:val="24"/>
          <w:lang w:eastAsia="zh-CN"/>
        </w:rPr>
        <w:t>需要</w:t>
      </w:r>
      <w:r w:rsidRPr="00F47BA9">
        <w:rPr>
          <w:rFonts w:ascii="Times New Roman" w:eastAsia="仿宋" w:hAnsi="Times New Roman" w:hint="eastAsia"/>
          <w:sz w:val="24"/>
          <w:lang w:eastAsia="zh-CN"/>
        </w:rPr>
        <w:t>的情况除外。</w:t>
      </w:r>
    </w:p>
    <w:p w14:paraId="514879D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如下情况不应视为基金管理人或基金托管人违反保密义务：</w:t>
      </w:r>
    </w:p>
    <w:p w14:paraId="64772789"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、非因基金管理人和基金托管人的原因导致保密信息被披露、泄露或公开；</w:t>
      </w:r>
    </w:p>
    <w:p w14:paraId="4A34AB54"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、基金管理人和基金托管人为遵守和服从法院判决或裁定、仲裁裁决或中国证监会等监管机构的命令决定所做出的信息披露或公开。</w:t>
      </w:r>
      <w:bookmarkStart w:id="85" w:name="_Toc22454467"/>
      <w:bookmarkStart w:id="86" w:name="_Toc77663027"/>
    </w:p>
    <w:p w14:paraId="619D9952"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（二）基金管理人和基金托管人在基金信息披露中的职责和信息披露程序</w:t>
      </w:r>
      <w:bookmarkEnd w:id="85"/>
      <w:bookmarkEnd w:id="86"/>
    </w:p>
    <w:p w14:paraId="760FB687"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基金管理人和基金托管人应根据相关法律法规、《基金合同》的规定各自承担相应的信息披露职责。基金管理人和基金托管人负有积极配合、互相督促、彼此监督，保证其履行按照法定方式和时限披露的义务。</w:t>
      </w:r>
    </w:p>
    <w:p w14:paraId="53DA4DC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本基金信息披露的文件，包括基金招募说明书、基金合同、基金托管协议、基金产品资料概要、基金份额发售公告、基金合同生效公告、基金净值信息、基金份额申购</w:t>
      </w: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赎回价格、基金定期报告（包括年度报告、中期报告和季度报告（含资产组合季度报告））、临时报告、澄清公告、基金份额持有人大会决议、清算报告、基金投资证券投资基金相关信息、基金投资国债期货相关信息、基金投资信用衍生</w:t>
      </w:r>
      <w:proofErr w:type="gramStart"/>
      <w:r w:rsidRPr="00F47BA9">
        <w:rPr>
          <w:rFonts w:ascii="Times New Roman" w:eastAsia="仿宋" w:hAnsi="Times New Roman" w:hint="eastAsia"/>
          <w:sz w:val="24"/>
          <w:lang w:eastAsia="zh-CN"/>
        </w:rPr>
        <w:t>品相关</w:t>
      </w:r>
      <w:proofErr w:type="gramEnd"/>
      <w:r w:rsidRPr="00F47BA9">
        <w:rPr>
          <w:rFonts w:ascii="Times New Roman" w:eastAsia="仿宋" w:hAnsi="Times New Roman" w:hint="eastAsia"/>
          <w:sz w:val="24"/>
          <w:lang w:eastAsia="zh-CN"/>
        </w:rPr>
        <w:t>信息、基金投资资产支持证券相关信息、基金投资港股通标的股票相关信息、实施</w:t>
      </w:r>
      <w:proofErr w:type="gramStart"/>
      <w:r w:rsidRPr="00F47BA9">
        <w:rPr>
          <w:rFonts w:ascii="Times New Roman" w:eastAsia="仿宋" w:hAnsi="Times New Roman" w:hint="eastAsia"/>
          <w:sz w:val="24"/>
          <w:lang w:eastAsia="zh-CN"/>
        </w:rPr>
        <w:t>侧袋机制</w:t>
      </w:r>
      <w:proofErr w:type="gramEnd"/>
      <w:r w:rsidRPr="00F47BA9">
        <w:rPr>
          <w:rFonts w:ascii="Times New Roman" w:eastAsia="仿宋" w:hAnsi="Times New Roman" w:hint="eastAsia"/>
          <w:sz w:val="24"/>
          <w:lang w:eastAsia="zh-CN"/>
        </w:rPr>
        <w:t>期间的信息披露及中国证监会规定的其他必要的公告文件，由基金管理人拟定并公布。</w:t>
      </w:r>
    </w:p>
    <w:p w14:paraId="78E6CB7E"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基金托管人应按本协议第八条第（六）款的规定对相关报告进行复核。基金年度报告中的财务会计报告应当经过符合《中华人民共和国证券法》规定的会计师事务所审计后方可披露。</w:t>
      </w:r>
    </w:p>
    <w:p w14:paraId="491998CF"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本基金的信息披露公告，必须在中国</w:t>
      </w:r>
      <w:r w:rsidRPr="00F47BA9">
        <w:rPr>
          <w:rFonts w:ascii="Times New Roman" w:eastAsia="仿宋" w:hAnsi="Times New Roman"/>
          <w:sz w:val="24"/>
          <w:lang w:eastAsia="zh-CN"/>
        </w:rPr>
        <w:t>证监会</w:t>
      </w:r>
      <w:r w:rsidRPr="00F47BA9">
        <w:rPr>
          <w:rFonts w:ascii="Times New Roman" w:eastAsia="仿宋" w:hAnsi="Times New Roman" w:hint="eastAsia"/>
          <w:sz w:val="24"/>
          <w:lang w:eastAsia="zh-CN"/>
        </w:rPr>
        <w:t>规定媒介发布。</w:t>
      </w:r>
    </w:p>
    <w:p w14:paraId="760816BC"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（三）暂停或延迟信息披露的情形</w:t>
      </w:r>
    </w:p>
    <w:p w14:paraId="2F5D2CD3"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lastRenderedPageBreak/>
        <w:t>1</w:t>
      </w:r>
      <w:r w:rsidRPr="00F47BA9">
        <w:rPr>
          <w:rFonts w:ascii="Times New Roman" w:eastAsia="仿宋" w:hAnsi="Times New Roman" w:hint="eastAsia"/>
          <w:sz w:val="24"/>
          <w:lang w:eastAsia="zh-CN"/>
        </w:rPr>
        <w:t>、基金投资所涉及的证券、期货交易市场或外汇市场遇法定节假日或因其他原因暂停营业时；</w:t>
      </w:r>
    </w:p>
    <w:p w14:paraId="248D5E51"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、因不可抗力或其他情形致使基金管理人、基金托管人无法准确评估基金资产价值时；</w:t>
      </w:r>
    </w:p>
    <w:p w14:paraId="5E67FDB9"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、出现《基金合同》约定的暂停估值的情形时；</w:t>
      </w:r>
    </w:p>
    <w:p w14:paraId="567D9A2B"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、法律法规规定、中国证监会或《基金合同》认定的其他情形。</w:t>
      </w:r>
    </w:p>
    <w:p w14:paraId="2B90360B"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（四）实施</w:t>
      </w:r>
      <w:proofErr w:type="gramStart"/>
      <w:r w:rsidRPr="00F47BA9">
        <w:rPr>
          <w:rFonts w:ascii="Times New Roman" w:eastAsia="仿宋" w:hAnsi="Times New Roman" w:hint="eastAsia"/>
          <w:sz w:val="24"/>
          <w:lang w:eastAsia="zh-CN"/>
        </w:rPr>
        <w:t>侧袋机制</w:t>
      </w:r>
      <w:proofErr w:type="gramEnd"/>
      <w:r w:rsidRPr="00F47BA9">
        <w:rPr>
          <w:rFonts w:ascii="Times New Roman" w:eastAsia="仿宋" w:hAnsi="Times New Roman" w:hint="eastAsia"/>
          <w:sz w:val="24"/>
          <w:lang w:eastAsia="zh-CN"/>
        </w:rPr>
        <w:t>期间的信息披露</w:t>
      </w:r>
    </w:p>
    <w:p w14:paraId="56761657"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本基金实施</w:t>
      </w:r>
      <w:proofErr w:type="gramStart"/>
      <w:r w:rsidRPr="00F47BA9">
        <w:rPr>
          <w:rFonts w:ascii="Times New Roman" w:eastAsia="仿宋" w:hAnsi="Times New Roman" w:hint="eastAsia"/>
          <w:sz w:val="24"/>
          <w:lang w:eastAsia="zh-CN"/>
        </w:rPr>
        <w:t>侧袋机制</w:t>
      </w:r>
      <w:proofErr w:type="gramEnd"/>
      <w:r w:rsidRPr="00F47BA9">
        <w:rPr>
          <w:rFonts w:ascii="Times New Roman" w:eastAsia="仿宋" w:hAnsi="Times New Roman" w:hint="eastAsia"/>
          <w:sz w:val="24"/>
          <w:lang w:eastAsia="zh-CN"/>
        </w:rPr>
        <w:t>的，相关信息披露义务人应当根据法律法规、基金合同和招募说明书的规定进行信息披露，详见招募说明书的规定。</w:t>
      </w:r>
    </w:p>
    <w:p w14:paraId="0B43F95A"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sz w:val="24"/>
          <w:lang w:eastAsia="zh-CN"/>
        </w:rPr>
        <w:t>（五）</w:t>
      </w:r>
      <w:r w:rsidRPr="00F47BA9">
        <w:rPr>
          <w:rFonts w:ascii="Times New Roman" w:eastAsia="仿宋" w:hAnsi="Times New Roman" w:hint="eastAsia"/>
          <w:sz w:val="24"/>
          <w:lang w:eastAsia="zh-CN"/>
        </w:rPr>
        <w:t>基金托管人报告</w:t>
      </w:r>
    </w:p>
    <w:p w14:paraId="49C19AD5"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基金托管人应按《基金法》和中国证监会的有关规定出具基金托管情况报告。基金托管人报告</w:t>
      </w:r>
      <w:proofErr w:type="gramStart"/>
      <w:r w:rsidRPr="00F47BA9">
        <w:rPr>
          <w:rFonts w:ascii="Times New Roman" w:eastAsia="仿宋" w:hAnsi="Times New Roman" w:hint="eastAsia"/>
          <w:sz w:val="24"/>
          <w:lang w:eastAsia="zh-CN"/>
        </w:rPr>
        <w:t>说明该半年度</w:t>
      </w:r>
      <w:proofErr w:type="gramEnd"/>
      <w:r w:rsidRPr="00F47BA9">
        <w:rPr>
          <w:rFonts w:ascii="Times New Roman" w:eastAsia="仿宋" w:hAnsi="Times New Roman"/>
          <w:sz w:val="24"/>
          <w:lang w:eastAsia="zh-CN"/>
        </w:rPr>
        <w:t>/</w:t>
      </w:r>
      <w:r w:rsidRPr="00F47BA9">
        <w:rPr>
          <w:rFonts w:ascii="Times New Roman" w:eastAsia="仿宋" w:hAnsi="Times New Roman" w:hint="eastAsia"/>
          <w:sz w:val="24"/>
          <w:lang w:eastAsia="zh-CN"/>
        </w:rPr>
        <w:t>年度基金托管人和基金管理人履行《基金合同》的情况，是基金中期报告和年度报告的组成部分。</w:t>
      </w:r>
    </w:p>
    <w:p w14:paraId="235DAC81" w14:textId="77777777" w:rsidR="00FB20DE" w:rsidRPr="00F47BA9" w:rsidRDefault="00A6695E">
      <w:pPr>
        <w:pStyle w:val="1"/>
        <w:pageBreakBefore/>
        <w:jc w:val="center"/>
        <w:rPr>
          <w:rFonts w:ascii="Times New Roman" w:eastAsia="仿宋" w:hAnsi="Times New Roman"/>
          <w:color w:val="auto"/>
          <w:lang w:eastAsia="zh-CN"/>
        </w:rPr>
      </w:pPr>
      <w:bookmarkStart w:id="87" w:name="_Toc121842076"/>
      <w:r w:rsidRPr="00F47BA9">
        <w:rPr>
          <w:rFonts w:ascii="Times New Roman" w:eastAsia="仿宋" w:hAnsi="Times New Roman" w:hint="eastAsia"/>
          <w:color w:val="auto"/>
          <w:lang w:eastAsia="zh-CN"/>
        </w:rPr>
        <w:lastRenderedPageBreak/>
        <w:t>十一、基金费用</w:t>
      </w:r>
      <w:bookmarkEnd w:id="83"/>
      <w:bookmarkEnd w:id="87"/>
    </w:p>
    <w:p w14:paraId="5BAFA382" w14:textId="77777777" w:rsidR="00FB20DE" w:rsidRPr="00F47BA9" w:rsidRDefault="00A6695E">
      <w:pPr>
        <w:spacing w:after="0" w:line="360" w:lineRule="auto"/>
        <w:ind w:firstLine="480"/>
        <w:rPr>
          <w:rFonts w:ascii="Times New Roman" w:eastAsia="仿宋" w:hAnsi="Times New Roman"/>
          <w:sz w:val="24"/>
          <w:lang w:eastAsia="zh-CN"/>
        </w:rPr>
      </w:pPr>
      <w:bookmarkStart w:id="88" w:name="OLE_LINK5"/>
      <w:bookmarkStart w:id="89" w:name="OLE_LINK6"/>
      <w:r w:rsidRPr="00F47BA9">
        <w:rPr>
          <w:rFonts w:ascii="Times New Roman" w:eastAsia="仿宋" w:hAnsi="Times New Roman" w:hint="eastAsia"/>
          <w:sz w:val="24"/>
          <w:lang w:eastAsia="zh-CN"/>
        </w:rPr>
        <w:t>（一）基金管理人的管理费</w:t>
      </w:r>
    </w:p>
    <w:p w14:paraId="7C209979"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本基金的管理费按前一日基金资产净值的</w:t>
      </w:r>
      <w:r w:rsidRPr="00F47BA9">
        <w:rPr>
          <w:rFonts w:ascii="Times New Roman" w:eastAsia="仿宋" w:hAnsi="Times New Roman" w:hint="eastAsia"/>
          <w:sz w:val="24"/>
          <w:lang w:eastAsia="zh-CN"/>
        </w:rPr>
        <w:t>0.60%</w:t>
      </w:r>
      <w:r w:rsidRPr="00F47BA9">
        <w:rPr>
          <w:rFonts w:ascii="Times New Roman" w:eastAsia="仿宋" w:hAnsi="Times New Roman" w:hint="eastAsia"/>
          <w:sz w:val="24"/>
          <w:lang w:eastAsia="zh-CN"/>
        </w:rPr>
        <w:t>年费率计提，但对基金财产中持有的本基金管理人自身管理的其他基金部分不收取管理费。管理费的计算方法如下：</w:t>
      </w:r>
    </w:p>
    <w:p w14:paraId="09ACC2B4"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H</w:t>
      </w: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E</w:t>
      </w: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0.60%</w:t>
      </w:r>
      <w:r w:rsidRPr="00F47BA9">
        <w:rPr>
          <w:rFonts w:ascii="Times New Roman" w:eastAsia="仿宋" w:hAnsi="Times New Roman" w:hint="eastAsia"/>
          <w:sz w:val="24"/>
          <w:lang w:eastAsia="zh-CN"/>
        </w:rPr>
        <w:t>÷当年天数</w:t>
      </w:r>
    </w:p>
    <w:p w14:paraId="43B61DBA"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H</w:t>
      </w:r>
      <w:r w:rsidRPr="00F47BA9">
        <w:rPr>
          <w:rFonts w:ascii="Times New Roman" w:eastAsia="仿宋" w:hAnsi="Times New Roman" w:hint="eastAsia"/>
          <w:sz w:val="24"/>
          <w:lang w:eastAsia="zh-CN"/>
        </w:rPr>
        <w:t>为每日应计提的基金管理费</w:t>
      </w:r>
    </w:p>
    <w:p w14:paraId="3C9F3419"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E</w:t>
      </w:r>
      <w:r w:rsidRPr="00F47BA9">
        <w:rPr>
          <w:rFonts w:ascii="Times New Roman" w:eastAsia="仿宋" w:hAnsi="Times New Roman" w:hint="eastAsia"/>
          <w:sz w:val="24"/>
          <w:lang w:eastAsia="zh-CN"/>
        </w:rPr>
        <w:t>为前一日的基金资产净值扣除所持有的本基金管理人自身管理的其他基金部分对应资产净值后的余额（若为负数，则</w:t>
      </w:r>
      <w:r w:rsidRPr="00F47BA9">
        <w:rPr>
          <w:rFonts w:ascii="Times New Roman" w:eastAsia="仿宋" w:hAnsi="Times New Roman" w:hint="eastAsia"/>
          <w:sz w:val="24"/>
          <w:lang w:eastAsia="zh-CN"/>
        </w:rPr>
        <w:t>E</w:t>
      </w:r>
      <w:r w:rsidRPr="00F47BA9">
        <w:rPr>
          <w:rFonts w:ascii="Times New Roman" w:eastAsia="仿宋" w:hAnsi="Times New Roman" w:hint="eastAsia"/>
          <w:sz w:val="24"/>
          <w:lang w:eastAsia="zh-CN"/>
        </w:rPr>
        <w:t>取</w:t>
      </w:r>
      <w:r w:rsidRPr="00F47BA9">
        <w:rPr>
          <w:rFonts w:ascii="Times New Roman" w:eastAsia="仿宋" w:hAnsi="Times New Roman" w:hint="eastAsia"/>
          <w:sz w:val="24"/>
          <w:lang w:eastAsia="zh-CN"/>
        </w:rPr>
        <w:t>0</w:t>
      </w:r>
      <w:r w:rsidRPr="00F47BA9">
        <w:rPr>
          <w:rFonts w:ascii="Times New Roman" w:eastAsia="仿宋" w:hAnsi="Times New Roman" w:hint="eastAsia"/>
          <w:sz w:val="24"/>
          <w:lang w:eastAsia="zh-CN"/>
        </w:rPr>
        <w:t>）</w:t>
      </w:r>
    </w:p>
    <w:p w14:paraId="429E8085"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基金管理费每日计提，逐日累计至每月月末，按月支付。由基金托管人与基金管理人核对一致后，基金托管人根据与基金管理人协商一致的方式于次月首日起前</w:t>
      </w:r>
      <w:r w:rsidRPr="00F47BA9">
        <w:rPr>
          <w:rFonts w:ascii="Times New Roman" w:eastAsia="仿宋" w:hAnsi="Times New Roman" w:hint="eastAsia"/>
          <w:sz w:val="24"/>
          <w:lang w:eastAsia="zh-CN"/>
        </w:rPr>
        <w:t>5</w:t>
      </w:r>
      <w:r w:rsidRPr="00F47BA9">
        <w:rPr>
          <w:rFonts w:ascii="Times New Roman" w:eastAsia="仿宋" w:hAnsi="Times New Roman" w:hint="eastAsia"/>
          <w:sz w:val="24"/>
          <w:lang w:eastAsia="zh-CN"/>
        </w:rPr>
        <w:t>个工作日内从基金财产中一次性支付给基金管理人。若遇法定节假日、休息日或不可抗力致使无法按时支付的，顺延至最近可支付日支付。</w:t>
      </w:r>
    </w:p>
    <w:p w14:paraId="55B53533"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（二）基金托管人的托管费</w:t>
      </w:r>
    </w:p>
    <w:p w14:paraId="23C6B8E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本基金的托管费按前一日基金资产净值的</w:t>
      </w:r>
      <w:r w:rsidRPr="00F47BA9">
        <w:rPr>
          <w:rFonts w:ascii="Times New Roman" w:eastAsia="仿宋" w:hAnsi="Times New Roman" w:hint="eastAsia"/>
          <w:sz w:val="24"/>
          <w:lang w:eastAsia="zh-CN"/>
        </w:rPr>
        <w:t>0.15%</w:t>
      </w:r>
      <w:r w:rsidRPr="00F47BA9">
        <w:rPr>
          <w:rFonts w:ascii="Times New Roman" w:eastAsia="仿宋" w:hAnsi="Times New Roman" w:hint="eastAsia"/>
          <w:sz w:val="24"/>
          <w:lang w:eastAsia="zh-CN"/>
        </w:rPr>
        <w:t>年费率计提，但对基金财产中持有的本基金托管人自身托管的其他基金部分不收取托管费。托管费的计算方法如下：</w:t>
      </w:r>
    </w:p>
    <w:p w14:paraId="19B115F2"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H</w:t>
      </w: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E</w:t>
      </w: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0.15%</w:t>
      </w:r>
      <w:r w:rsidRPr="00F47BA9">
        <w:rPr>
          <w:rFonts w:ascii="Times New Roman" w:eastAsia="仿宋" w:hAnsi="Times New Roman" w:hint="eastAsia"/>
          <w:sz w:val="24"/>
          <w:lang w:eastAsia="zh-CN"/>
        </w:rPr>
        <w:t>÷当年天数</w:t>
      </w:r>
    </w:p>
    <w:p w14:paraId="39A3A115"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H</w:t>
      </w:r>
      <w:r w:rsidRPr="00F47BA9">
        <w:rPr>
          <w:rFonts w:ascii="Times New Roman" w:eastAsia="仿宋" w:hAnsi="Times New Roman" w:hint="eastAsia"/>
          <w:sz w:val="24"/>
          <w:lang w:eastAsia="zh-CN"/>
        </w:rPr>
        <w:t>为每日应计提的基金托管费</w:t>
      </w:r>
    </w:p>
    <w:p w14:paraId="556776FF"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E</w:t>
      </w:r>
      <w:r w:rsidRPr="00F47BA9">
        <w:rPr>
          <w:rFonts w:ascii="Times New Roman" w:eastAsia="仿宋" w:hAnsi="Times New Roman" w:hint="eastAsia"/>
          <w:sz w:val="24"/>
          <w:lang w:eastAsia="zh-CN"/>
        </w:rPr>
        <w:t>为前一日的基金资产净值扣除所持有的本基金托管人自身托管的其他基金部分所对应资产净值后的余额（若为负数，则</w:t>
      </w:r>
      <w:r w:rsidRPr="00F47BA9">
        <w:rPr>
          <w:rFonts w:ascii="Times New Roman" w:eastAsia="仿宋" w:hAnsi="Times New Roman" w:hint="eastAsia"/>
          <w:sz w:val="24"/>
          <w:lang w:eastAsia="zh-CN"/>
        </w:rPr>
        <w:t>E</w:t>
      </w:r>
      <w:r w:rsidRPr="00F47BA9">
        <w:rPr>
          <w:rFonts w:ascii="Times New Roman" w:eastAsia="仿宋" w:hAnsi="Times New Roman" w:hint="eastAsia"/>
          <w:sz w:val="24"/>
          <w:lang w:eastAsia="zh-CN"/>
        </w:rPr>
        <w:t>取</w:t>
      </w:r>
      <w:r w:rsidRPr="00F47BA9">
        <w:rPr>
          <w:rFonts w:ascii="Times New Roman" w:eastAsia="仿宋" w:hAnsi="Times New Roman" w:hint="eastAsia"/>
          <w:sz w:val="24"/>
          <w:lang w:eastAsia="zh-CN"/>
        </w:rPr>
        <w:t>0</w:t>
      </w:r>
      <w:r w:rsidRPr="00F47BA9">
        <w:rPr>
          <w:rFonts w:ascii="Times New Roman" w:eastAsia="仿宋" w:hAnsi="Times New Roman" w:hint="eastAsia"/>
          <w:sz w:val="24"/>
          <w:lang w:eastAsia="zh-CN"/>
        </w:rPr>
        <w:t>）</w:t>
      </w:r>
    </w:p>
    <w:p w14:paraId="7D4D02B4"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基金托管费每日计提，逐日累计至每月月末，按月支付。由基金托管人与基金管理人核对一致后，基金托管人根据与基金管理人协商一致的方式于次月首日起前</w:t>
      </w:r>
      <w:r w:rsidRPr="00F47BA9">
        <w:rPr>
          <w:rFonts w:ascii="Times New Roman" w:eastAsia="仿宋" w:hAnsi="Times New Roman" w:hint="eastAsia"/>
          <w:sz w:val="24"/>
          <w:lang w:eastAsia="zh-CN"/>
        </w:rPr>
        <w:t>5</w:t>
      </w:r>
      <w:r w:rsidRPr="00F47BA9">
        <w:rPr>
          <w:rFonts w:ascii="Times New Roman" w:eastAsia="仿宋" w:hAnsi="Times New Roman" w:hint="eastAsia"/>
          <w:sz w:val="24"/>
          <w:lang w:eastAsia="zh-CN"/>
        </w:rPr>
        <w:t>个工作日内从基金财产中一次性支取。若遇法定节假日、休息日或不可抗力致使无法按时支付的，顺延至最近可支付日支付。</w:t>
      </w:r>
    </w:p>
    <w:p w14:paraId="0E6DAD14"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（三）销售服务费</w:t>
      </w:r>
    </w:p>
    <w:p w14:paraId="20958B25"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本基金</w:t>
      </w:r>
      <w:r w:rsidRPr="00F47BA9">
        <w:rPr>
          <w:rFonts w:ascii="Times New Roman" w:eastAsia="仿宋" w:hAnsi="Times New Roman" w:hint="eastAsia"/>
          <w:sz w:val="24"/>
          <w:lang w:eastAsia="zh-CN"/>
        </w:rPr>
        <w:t>A</w:t>
      </w:r>
      <w:r w:rsidRPr="00F47BA9">
        <w:rPr>
          <w:rFonts w:ascii="Times New Roman" w:eastAsia="仿宋" w:hAnsi="Times New Roman" w:hint="eastAsia"/>
          <w:sz w:val="24"/>
          <w:lang w:eastAsia="zh-CN"/>
        </w:rPr>
        <w:t>类基金份额不收取销售服务费，</w:t>
      </w:r>
      <w:r w:rsidRPr="00F47BA9">
        <w:rPr>
          <w:rFonts w:ascii="Times New Roman" w:eastAsia="仿宋" w:hAnsi="Times New Roman" w:hint="eastAsia"/>
          <w:sz w:val="24"/>
          <w:lang w:eastAsia="zh-CN"/>
        </w:rPr>
        <w:t>C</w:t>
      </w:r>
      <w:r w:rsidRPr="00F47BA9">
        <w:rPr>
          <w:rFonts w:ascii="Times New Roman" w:eastAsia="仿宋" w:hAnsi="Times New Roman" w:hint="eastAsia"/>
          <w:sz w:val="24"/>
          <w:lang w:eastAsia="zh-CN"/>
        </w:rPr>
        <w:t>类基金份额的销售服务费年费率为</w:t>
      </w:r>
      <w:r w:rsidRPr="00F47BA9">
        <w:rPr>
          <w:rFonts w:ascii="Times New Roman" w:eastAsia="仿宋" w:hAnsi="Times New Roman" w:hint="eastAsia"/>
          <w:sz w:val="24"/>
          <w:lang w:eastAsia="zh-CN"/>
        </w:rPr>
        <w:t>0.20%</w:t>
      </w:r>
      <w:r w:rsidRPr="00F47BA9">
        <w:rPr>
          <w:rFonts w:ascii="Times New Roman" w:eastAsia="仿宋" w:hAnsi="Times New Roman" w:hint="eastAsia"/>
          <w:sz w:val="24"/>
          <w:lang w:eastAsia="zh-CN"/>
        </w:rPr>
        <w:t>。</w:t>
      </w:r>
    </w:p>
    <w:p w14:paraId="2407CABB" w14:textId="02B42335"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本基金销售服务费按前一日</w:t>
      </w:r>
      <w:r w:rsidRPr="00F47BA9">
        <w:rPr>
          <w:rFonts w:ascii="Times New Roman" w:eastAsia="仿宋" w:hAnsi="Times New Roman" w:hint="eastAsia"/>
          <w:sz w:val="24"/>
          <w:lang w:eastAsia="zh-CN"/>
        </w:rPr>
        <w:t>C</w:t>
      </w:r>
      <w:r w:rsidRPr="00F47BA9">
        <w:rPr>
          <w:rFonts w:ascii="Times New Roman" w:eastAsia="仿宋" w:hAnsi="Times New Roman" w:hint="eastAsia"/>
          <w:sz w:val="24"/>
          <w:lang w:eastAsia="zh-CN"/>
        </w:rPr>
        <w:t>类</w:t>
      </w:r>
      <w:r w:rsidR="00A62FF7" w:rsidRPr="00F47BA9">
        <w:rPr>
          <w:rFonts w:ascii="Times New Roman" w:eastAsia="仿宋" w:hAnsi="Times New Roman" w:hint="eastAsia"/>
          <w:sz w:val="24"/>
          <w:lang w:eastAsia="zh-CN"/>
        </w:rPr>
        <w:t>基金份额的</w:t>
      </w:r>
      <w:r w:rsidRPr="00F47BA9">
        <w:rPr>
          <w:rFonts w:ascii="Times New Roman" w:eastAsia="仿宋" w:hAnsi="Times New Roman" w:hint="eastAsia"/>
          <w:sz w:val="24"/>
          <w:lang w:eastAsia="zh-CN"/>
        </w:rPr>
        <w:t>基金资产净值的</w:t>
      </w:r>
      <w:r w:rsidRPr="00F47BA9">
        <w:rPr>
          <w:rFonts w:ascii="Times New Roman" w:eastAsia="仿宋" w:hAnsi="Times New Roman" w:hint="eastAsia"/>
          <w:sz w:val="24"/>
          <w:lang w:eastAsia="zh-CN"/>
        </w:rPr>
        <w:t>0.20%</w:t>
      </w:r>
      <w:r w:rsidRPr="00F47BA9">
        <w:rPr>
          <w:rFonts w:ascii="Times New Roman" w:eastAsia="仿宋" w:hAnsi="Times New Roman" w:hint="eastAsia"/>
          <w:sz w:val="24"/>
          <w:lang w:eastAsia="zh-CN"/>
        </w:rPr>
        <w:t>年费率</w:t>
      </w:r>
      <w:r w:rsidRPr="00F47BA9">
        <w:rPr>
          <w:rFonts w:ascii="Times New Roman" w:eastAsia="仿宋" w:hAnsi="Times New Roman" w:hint="eastAsia"/>
          <w:sz w:val="24"/>
          <w:lang w:eastAsia="zh-CN"/>
        </w:rPr>
        <w:lastRenderedPageBreak/>
        <w:t>计提。销售服务费的计算方法如下：</w:t>
      </w:r>
    </w:p>
    <w:p w14:paraId="59F93BE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H</w:t>
      </w: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E</w:t>
      </w: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0.20%</w:t>
      </w:r>
      <w:r w:rsidRPr="00F47BA9">
        <w:rPr>
          <w:rFonts w:ascii="Times New Roman" w:eastAsia="仿宋" w:hAnsi="Times New Roman" w:hint="eastAsia"/>
          <w:sz w:val="24"/>
          <w:lang w:eastAsia="zh-CN"/>
        </w:rPr>
        <w:t>÷当年天数</w:t>
      </w:r>
    </w:p>
    <w:p w14:paraId="497CE4B0"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H</w:t>
      </w:r>
      <w:r w:rsidRPr="00F47BA9">
        <w:rPr>
          <w:rFonts w:ascii="Times New Roman" w:eastAsia="仿宋" w:hAnsi="Times New Roman" w:hint="eastAsia"/>
          <w:sz w:val="24"/>
          <w:lang w:eastAsia="zh-CN"/>
        </w:rPr>
        <w:t>为</w:t>
      </w:r>
      <w:r w:rsidRPr="00F47BA9">
        <w:rPr>
          <w:rFonts w:ascii="Times New Roman" w:eastAsia="仿宋" w:hAnsi="Times New Roman" w:hint="eastAsia"/>
          <w:sz w:val="24"/>
          <w:lang w:eastAsia="zh-CN"/>
        </w:rPr>
        <w:t>C</w:t>
      </w:r>
      <w:r w:rsidRPr="00F47BA9">
        <w:rPr>
          <w:rFonts w:ascii="Times New Roman" w:eastAsia="仿宋" w:hAnsi="Times New Roman" w:hint="eastAsia"/>
          <w:sz w:val="24"/>
          <w:lang w:eastAsia="zh-CN"/>
        </w:rPr>
        <w:t>类基金份额每日应计提的销售服务费</w:t>
      </w:r>
    </w:p>
    <w:p w14:paraId="575E1BD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E</w:t>
      </w:r>
      <w:r w:rsidRPr="00F47BA9">
        <w:rPr>
          <w:rFonts w:ascii="Times New Roman" w:eastAsia="仿宋" w:hAnsi="Times New Roman" w:hint="eastAsia"/>
          <w:sz w:val="24"/>
          <w:lang w:eastAsia="zh-CN"/>
        </w:rPr>
        <w:t>为</w:t>
      </w:r>
      <w:r w:rsidRPr="00F47BA9">
        <w:rPr>
          <w:rFonts w:ascii="Times New Roman" w:eastAsia="仿宋" w:hAnsi="Times New Roman" w:hint="eastAsia"/>
          <w:sz w:val="24"/>
          <w:lang w:eastAsia="zh-CN"/>
        </w:rPr>
        <w:t>C</w:t>
      </w:r>
      <w:r w:rsidRPr="00F47BA9">
        <w:rPr>
          <w:rFonts w:ascii="Times New Roman" w:eastAsia="仿宋" w:hAnsi="Times New Roman" w:hint="eastAsia"/>
          <w:sz w:val="24"/>
          <w:lang w:eastAsia="zh-CN"/>
        </w:rPr>
        <w:t>类基金份额前一日基金资产净值</w:t>
      </w:r>
    </w:p>
    <w:p w14:paraId="505FC4A7" w14:textId="5FAFAE48"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销售服务费每日计提。</w:t>
      </w:r>
    </w:p>
    <w:p w14:paraId="05080C92" w14:textId="7C342974"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1</w:t>
      </w:r>
      <w:r w:rsidR="00563FBB"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直销机构：</w:t>
      </w:r>
    </w:p>
    <w:p w14:paraId="20D6DE9C"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对于基金份额收取的销售服务费，在投资者赎回基金份额或基金合同终止时，随赎回款（或清算款）一并返还给投资者。</w:t>
      </w:r>
    </w:p>
    <w:p w14:paraId="6E26C88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若遇法定节假日、休息日或不可抗力致使无法按时支付的，顺延至最近可支付日支付。</w:t>
      </w:r>
    </w:p>
    <w:p w14:paraId="60E7FCA5" w14:textId="152F6519"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2</w:t>
      </w:r>
      <w:r w:rsidR="00563FBB"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代销机构：</w:t>
      </w:r>
    </w:p>
    <w:p w14:paraId="3ED42DDE" w14:textId="75A6693A"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对于投资者持续持有期限不超过一年（即</w:t>
      </w:r>
      <w:r w:rsidRPr="00F47BA9">
        <w:rPr>
          <w:rFonts w:ascii="Times New Roman" w:eastAsia="仿宋" w:hAnsi="Times New Roman" w:hint="eastAsia"/>
          <w:sz w:val="24"/>
          <w:lang w:eastAsia="zh-CN"/>
        </w:rPr>
        <w:t>365</w:t>
      </w:r>
      <w:r w:rsidRPr="00F47BA9">
        <w:rPr>
          <w:rFonts w:ascii="Times New Roman" w:eastAsia="仿宋" w:hAnsi="Times New Roman" w:hint="eastAsia"/>
          <w:sz w:val="24"/>
          <w:lang w:eastAsia="zh-CN"/>
        </w:rPr>
        <w:t>天，下同）的基金份额收取的销售服务费，基金托管人按照与基金管理人协商一致的方式于次月首日起前</w:t>
      </w:r>
      <w:r w:rsidRPr="00F47BA9">
        <w:rPr>
          <w:rFonts w:ascii="Times New Roman" w:eastAsia="仿宋" w:hAnsi="Times New Roman" w:hint="eastAsia"/>
          <w:sz w:val="24"/>
          <w:lang w:eastAsia="zh-CN"/>
        </w:rPr>
        <w:t>5</w:t>
      </w:r>
      <w:r w:rsidRPr="00F47BA9">
        <w:rPr>
          <w:rFonts w:ascii="Times New Roman" w:eastAsia="仿宋" w:hAnsi="Times New Roman" w:hint="eastAsia"/>
          <w:sz w:val="24"/>
          <w:lang w:eastAsia="zh-CN"/>
        </w:rPr>
        <w:t>个工作日内从基金财产中一次性划出，由登记机构代收，登记机构收到后按相关协议规定支付给基金销售机构。</w:t>
      </w:r>
    </w:p>
    <w:p w14:paraId="71CE1004" w14:textId="228EBB54"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对于持续持有期限超过一年的基金份额继续收取的销售服务费，在投资者赎回基金份额或基金合同终止时，随赎回款（或清算款）一并返还给投资者。</w:t>
      </w:r>
    </w:p>
    <w:p w14:paraId="094955BA"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若遇法定节假日、休息日或不可抗力致使无法按时支付的，顺延至最近可支付日支付。</w:t>
      </w:r>
    </w:p>
    <w:p w14:paraId="5D6A862D"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销售服务费主要用于本基金持续销售以及基金份额持有人服务等各项费用。</w:t>
      </w:r>
      <w:bookmarkEnd w:id="88"/>
      <w:bookmarkEnd w:id="89"/>
    </w:p>
    <w:p w14:paraId="5AAA62BC"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四）从基金资产中列支基金管理人的管理费、基金托管人的托管费、销售服务费之外的其他基金费用，应当依据有关法律法规、《基金合同》的规定执行；基金管理人和基金托管人因未履行或未完全履行义务导致的费用支出或基金财产的损失，以及处理与基金运作无关的事项发生的费用等不列入基金费用。基金合同生效之前的律师费、会计师费和信息披露费用等不得从基金财产中列支；基金托管人对不符合《基金法》、《运作办法》等有关规定以及《基金合同》的其他费用有权拒绝执行。如果基金托管人发现基金管理人违反有关法律法规的有关规定和《基金合同》、本协议的约定，从基金财产中列支费用，有权要求基金管理人做出书面解释，如果基金托管人认为基金管理人无正当或合理的理由，可以拒绝支付。</w:t>
      </w:r>
      <w:bookmarkStart w:id="90" w:name="_Toc125892448"/>
    </w:p>
    <w:p w14:paraId="559A9FD6"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lastRenderedPageBreak/>
        <w:t>基金管理人运用本</w:t>
      </w:r>
      <w:proofErr w:type="gramStart"/>
      <w:r w:rsidRPr="00F47BA9">
        <w:rPr>
          <w:rFonts w:ascii="Times New Roman" w:eastAsia="仿宋" w:hAnsi="Times New Roman" w:hint="eastAsia"/>
          <w:sz w:val="24"/>
          <w:lang w:eastAsia="zh-CN"/>
        </w:rPr>
        <w:t>基金基金</w:t>
      </w:r>
      <w:proofErr w:type="gramEnd"/>
      <w:r w:rsidRPr="00F47BA9">
        <w:rPr>
          <w:rFonts w:ascii="Times New Roman" w:eastAsia="仿宋" w:hAnsi="Times New Roman" w:hint="eastAsia"/>
          <w:sz w:val="24"/>
          <w:lang w:eastAsia="zh-CN"/>
        </w:rPr>
        <w:t>财产申购自身管理的其他基金（</w:t>
      </w:r>
      <w:r w:rsidRPr="00F47BA9">
        <w:rPr>
          <w:rFonts w:ascii="Times New Roman" w:eastAsia="仿宋" w:hAnsi="Times New Roman" w:hint="eastAsia"/>
          <w:sz w:val="24"/>
          <w:lang w:eastAsia="zh-CN"/>
        </w:rPr>
        <w:t>ETF</w:t>
      </w:r>
      <w:r w:rsidRPr="00F47BA9">
        <w:rPr>
          <w:rFonts w:ascii="Times New Roman" w:eastAsia="仿宋" w:hAnsi="Times New Roman" w:hint="eastAsia"/>
          <w:sz w:val="24"/>
          <w:lang w:eastAsia="zh-CN"/>
        </w:rPr>
        <w:t>除外），应当通过直销渠道申购且不得收取申购费、赎回费（按照相关法律法规、基金招募说明书约定应当收取，并记入基金财产的赎回费用除外）、销售服务费等销售费用。</w:t>
      </w:r>
    </w:p>
    <w:p w14:paraId="27F2B0E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sz w:val="24"/>
          <w:lang w:eastAsia="zh-CN"/>
        </w:rPr>
        <w:t>（五）</w:t>
      </w:r>
      <w:r w:rsidRPr="00F47BA9">
        <w:rPr>
          <w:rFonts w:ascii="Times New Roman" w:eastAsia="仿宋" w:hAnsi="Times New Roman" w:hint="eastAsia"/>
          <w:sz w:val="24"/>
          <w:lang w:eastAsia="zh-CN"/>
        </w:rPr>
        <w:t>实施</w:t>
      </w:r>
      <w:proofErr w:type="gramStart"/>
      <w:r w:rsidRPr="00F47BA9">
        <w:rPr>
          <w:rFonts w:ascii="Times New Roman" w:eastAsia="仿宋" w:hAnsi="Times New Roman" w:hint="eastAsia"/>
          <w:sz w:val="24"/>
          <w:lang w:eastAsia="zh-CN"/>
        </w:rPr>
        <w:t>侧袋机制</w:t>
      </w:r>
      <w:proofErr w:type="gramEnd"/>
      <w:r w:rsidRPr="00F47BA9">
        <w:rPr>
          <w:rFonts w:ascii="Times New Roman" w:eastAsia="仿宋" w:hAnsi="Times New Roman" w:hint="eastAsia"/>
          <w:sz w:val="24"/>
          <w:lang w:eastAsia="zh-CN"/>
        </w:rPr>
        <w:t>期间的基金费用</w:t>
      </w:r>
    </w:p>
    <w:p w14:paraId="247977CB"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本基金实施</w:t>
      </w:r>
      <w:proofErr w:type="gramStart"/>
      <w:r w:rsidRPr="00F47BA9">
        <w:rPr>
          <w:rFonts w:ascii="Times New Roman" w:eastAsia="仿宋" w:hAnsi="Times New Roman" w:hint="eastAsia"/>
          <w:sz w:val="24"/>
          <w:lang w:eastAsia="zh-CN"/>
        </w:rPr>
        <w:t>侧袋机制</w:t>
      </w:r>
      <w:proofErr w:type="gramEnd"/>
      <w:r w:rsidRPr="00F47BA9">
        <w:rPr>
          <w:rFonts w:ascii="Times New Roman" w:eastAsia="仿宋" w:hAnsi="Times New Roman" w:hint="eastAsia"/>
          <w:sz w:val="24"/>
          <w:lang w:eastAsia="zh-CN"/>
        </w:rPr>
        <w:t>的，</w:t>
      </w:r>
      <w:proofErr w:type="gramStart"/>
      <w:r w:rsidRPr="00F47BA9">
        <w:rPr>
          <w:rFonts w:ascii="Times New Roman" w:eastAsia="仿宋" w:hAnsi="Times New Roman" w:hint="eastAsia"/>
          <w:sz w:val="24"/>
          <w:lang w:eastAsia="zh-CN"/>
        </w:rPr>
        <w:t>与侧袋账户</w:t>
      </w:r>
      <w:proofErr w:type="gramEnd"/>
      <w:r w:rsidRPr="00F47BA9">
        <w:rPr>
          <w:rFonts w:ascii="Times New Roman" w:eastAsia="仿宋" w:hAnsi="Times New Roman" w:hint="eastAsia"/>
          <w:sz w:val="24"/>
          <w:lang w:eastAsia="zh-CN"/>
        </w:rPr>
        <w:t>有关的费用可以</w:t>
      </w:r>
      <w:proofErr w:type="gramStart"/>
      <w:r w:rsidRPr="00F47BA9">
        <w:rPr>
          <w:rFonts w:ascii="Times New Roman" w:eastAsia="仿宋" w:hAnsi="Times New Roman" w:hint="eastAsia"/>
          <w:sz w:val="24"/>
          <w:lang w:eastAsia="zh-CN"/>
        </w:rPr>
        <w:t>从侧袋账户</w:t>
      </w:r>
      <w:proofErr w:type="gramEnd"/>
      <w:r w:rsidRPr="00F47BA9">
        <w:rPr>
          <w:rFonts w:ascii="Times New Roman" w:eastAsia="仿宋" w:hAnsi="Times New Roman" w:hint="eastAsia"/>
          <w:sz w:val="24"/>
          <w:lang w:eastAsia="zh-CN"/>
        </w:rPr>
        <w:t>中列支，但应</w:t>
      </w:r>
      <w:proofErr w:type="gramStart"/>
      <w:r w:rsidRPr="00F47BA9">
        <w:rPr>
          <w:rFonts w:ascii="Times New Roman" w:eastAsia="仿宋" w:hAnsi="Times New Roman" w:hint="eastAsia"/>
          <w:sz w:val="24"/>
          <w:lang w:eastAsia="zh-CN"/>
        </w:rPr>
        <w:t>待侧袋</w:t>
      </w:r>
      <w:proofErr w:type="gramEnd"/>
      <w:r w:rsidRPr="00F47BA9">
        <w:rPr>
          <w:rFonts w:ascii="Times New Roman" w:eastAsia="仿宋" w:hAnsi="Times New Roman" w:hint="eastAsia"/>
          <w:sz w:val="24"/>
          <w:lang w:eastAsia="zh-CN"/>
        </w:rPr>
        <w:t>账户资产变现后方可列支，有关费用可酌情收取或减免，但不得收取管理费，详见招募说明书的规定或相关公告。</w:t>
      </w:r>
    </w:p>
    <w:p w14:paraId="62F57379"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（六）基金综合费用水平</w:t>
      </w:r>
    </w:p>
    <w:p w14:paraId="7D5BC2CB" w14:textId="58B53EFC"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本基金综合费用水平在基金产品资料概要等法律文件中列示。</w:t>
      </w:r>
    </w:p>
    <w:p w14:paraId="444CDDC8" w14:textId="77777777" w:rsidR="00FB20DE" w:rsidRPr="00F47BA9" w:rsidRDefault="00A6695E">
      <w:pPr>
        <w:pStyle w:val="1"/>
        <w:pageBreakBefore/>
        <w:jc w:val="center"/>
        <w:rPr>
          <w:rFonts w:ascii="Times New Roman" w:eastAsia="仿宋" w:hAnsi="Times New Roman"/>
          <w:color w:val="auto"/>
          <w:lang w:eastAsia="zh-CN"/>
        </w:rPr>
      </w:pPr>
      <w:bookmarkStart w:id="91" w:name="_Toc121842077"/>
      <w:r w:rsidRPr="00F47BA9">
        <w:rPr>
          <w:rFonts w:ascii="Times New Roman" w:eastAsia="仿宋" w:hAnsi="Times New Roman" w:hint="eastAsia"/>
          <w:color w:val="auto"/>
          <w:lang w:eastAsia="zh-CN"/>
        </w:rPr>
        <w:lastRenderedPageBreak/>
        <w:t>十二、基金份额持有人名册的保管</w:t>
      </w:r>
      <w:bookmarkEnd w:id="90"/>
      <w:bookmarkEnd w:id="91"/>
    </w:p>
    <w:p w14:paraId="53E51B32" w14:textId="77777777" w:rsidR="00FB20DE" w:rsidRPr="00F47BA9" w:rsidRDefault="00A6695E">
      <w:pPr>
        <w:spacing w:after="0" w:line="360" w:lineRule="auto"/>
        <w:ind w:firstLine="480"/>
        <w:rPr>
          <w:rFonts w:ascii="Times New Roman" w:eastAsia="仿宋" w:hAnsi="Times New Roman"/>
          <w:sz w:val="24"/>
          <w:lang w:eastAsia="zh-CN"/>
        </w:rPr>
      </w:pPr>
      <w:bookmarkStart w:id="92" w:name="_Toc22454468"/>
      <w:bookmarkStart w:id="93" w:name="_Toc523830003"/>
      <w:bookmarkStart w:id="94" w:name="_Toc125892449"/>
      <w:r w:rsidRPr="00F47BA9">
        <w:rPr>
          <w:rFonts w:ascii="Times New Roman" w:eastAsia="仿宋" w:hAnsi="Times New Roman" w:hint="eastAsia"/>
          <w:sz w:val="24"/>
          <w:lang w:eastAsia="zh-CN"/>
        </w:rPr>
        <w:t>基金份额持有人名册至少应包括基金份额持有人的名称和持有的基金份额。基金份额持有人名册由基金登记机构根据基金管理人的指令编制和保管，基金管理人和基金托管人应分别保管基金份额持有人名册，保存期不低于法律法规或监管机关规定的最低期限。如不能妥善保管，则按相关法规承担责任。</w:t>
      </w:r>
    </w:p>
    <w:p w14:paraId="17512954"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在基金托管人要求或编制中期报告和年度报告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14:paraId="1FAB3F07" w14:textId="77777777" w:rsidR="00FB20DE" w:rsidRPr="00F47BA9" w:rsidRDefault="00A6695E">
      <w:pPr>
        <w:pStyle w:val="1"/>
        <w:pageBreakBefore/>
        <w:jc w:val="center"/>
        <w:rPr>
          <w:rFonts w:ascii="Times New Roman" w:eastAsia="仿宋" w:hAnsi="Times New Roman"/>
          <w:color w:val="auto"/>
          <w:lang w:eastAsia="zh-CN"/>
        </w:rPr>
      </w:pPr>
      <w:bookmarkStart w:id="95" w:name="_Toc121842078"/>
      <w:r w:rsidRPr="00F47BA9">
        <w:rPr>
          <w:rFonts w:ascii="Times New Roman" w:eastAsia="仿宋" w:hAnsi="Times New Roman" w:hint="eastAsia"/>
          <w:color w:val="auto"/>
          <w:lang w:eastAsia="zh-CN"/>
        </w:rPr>
        <w:lastRenderedPageBreak/>
        <w:t>十三、基金有关文件档案的保存</w:t>
      </w:r>
      <w:bookmarkEnd w:id="84"/>
      <w:bookmarkEnd w:id="92"/>
      <w:bookmarkEnd w:id="93"/>
      <w:bookmarkEnd w:id="94"/>
      <w:bookmarkEnd w:id="95"/>
    </w:p>
    <w:p w14:paraId="079DBC46"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基金管理人应保存基金财产管理业务活动的记录、账册、报表和其他相关资料，基金托管人应保存基金托管业务活动的记录、账册、报表和其他相关资料。</w:t>
      </w:r>
    </w:p>
    <w:p w14:paraId="494C7CE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基金管理人和基金托管人应按各自职责完整保存原始凭证、记账凭证、基金账册、会计报告、交易记录和重要合同等，保存期限不低于法律法规或监管机关规定的最低期限。</w:t>
      </w:r>
    </w:p>
    <w:p w14:paraId="1660A1F5"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基金管理人签署重大合同文本后，应及时将合同文本送达基金托管人处。基金管理人应及时将与本基金账务处理、资金划拨等有关的合同、协议传真给基金托管人。</w:t>
      </w:r>
    </w:p>
    <w:p w14:paraId="1431E708" w14:textId="77777777" w:rsidR="00FB20DE" w:rsidRPr="00F47BA9" w:rsidRDefault="00A6695E">
      <w:pPr>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基金管理人或基金托管人变更后，未变更的一方有义务协助接任人接收基金的有关文件。</w:t>
      </w:r>
      <w:bookmarkStart w:id="96" w:name="_Toc466788864"/>
      <w:bookmarkStart w:id="97" w:name="_Toc22454470"/>
      <w:bookmarkStart w:id="98" w:name="_Toc523830005"/>
      <w:bookmarkStart w:id="99" w:name="_Toc125892450"/>
    </w:p>
    <w:p w14:paraId="5978EC21" w14:textId="77777777" w:rsidR="00FB20DE" w:rsidRPr="00F47BA9" w:rsidRDefault="00A6695E">
      <w:pPr>
        <w:pStyle w:val="1"/>
        <w:pageBreakBefore/>
        <w:jc w:val="center"/>
        <w:rPr>
          <w:rFonts w:ascii="Times New Roman" w:eastAsia="仿宋" w:hAnsi="Times New Roman"/>
          <w:color w:val="auto"/>
          <w:lang w:eastAsia="zh-CN"/>
        </w:rPr>
      </w:pPr>
      <w:bookmarkStart w:id="100" w:name="_Toc121842079"/>
      <w:r w:rsidRPr="00F47BA9">
        <w:rPr>
          <w:rFonts w:ascii="Times New Roman" w:eastAsia="仿宋" w:hAnsi="Times New Roman" w:hint="eastAsia"/>
          <w:color w:val="auto"/>
          <w:lang w:eastAsia="zh-CN"/>
        </w:rPr>
        <w:lastRenderedPageBreak/>
        <w:t>十四、基金管理人和基金托管人的更换</w:t>
      </w:r>
      <w:bookmarkEnd w:id="96"/>
      <w:bookmarkEnd w:id="97"/>
      <w:bookmarkEnd w:id="98"/>
      <w:bookmarkEnd w:id="99"/>
      <w:bookmarkEnd w:id="100"/>
    </w:p>
    <w:p w14:paraId="0F07A01B"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bookmarkStart w:id="101" w:name="_Toc22454471"/>
      <w:bookmarkStart w:id="102" w:name="_Toc77663031"/>
      <w:r w:rsidRPr="00F47BA9">
        <w:rPr>
          <w:rFonts w:ascii="Times New Roman" w:eastAsia="仿宋" w:hAnsi="Times New Roman" w:hint="eastAsia"/>
          <w:sz w:val="24"/>
          <w:lang w:eastAsia="zh-CN"/>
        </w:rPr>
        <w:t>（一）基金管理人的更换</w:t>
      </w:r>
    </w:p>
    <w:p w14:paraId="3295F7C9"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、基金管理人职责终止的条件</w:t>
      </w:r>
    </w:p>
    <w:p w14:paraId="3E4FBAE7"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有下列情形之一的，基金管理人职责终止：</w:t>
      </w:r>
    </w:p>
    <w:p w14:paraId="13C20471"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w:t>
      </w:r>
      <w:r w:rsidRPr="00F47BA9">
        <w:rPr>
          <w:rFonts w:ascii="Times New Roman" w:eastAsia="仿宋" w:hAnsi="Times New Roman"/>
          <w:bCs/>
          <w:sz w:val="24"/>
          <w:lang w:eastAsia="zh-CN"/>
        </w:rPr>
        <w:t>被依法取消基金管理资格</w:t>
      </w:r>
      <w:r w:rsidRPr="00F47BA9">
        <w:rPr>
          <w:rFonts w:ascii="Times New Roman" w:eastAsia="仿宋" w:hAnsi="Times New Roman"/>
          <w:sz w:val="24"/>
          <w:lang w:eastAsia="zh-CN"/>
        </w:rPr>
        <w:t>；</w:t>
      </w:r>
    </w:p>
    <w:p w14:paraId="15311255"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w:t>
      </w:r>
      <w:r w:rsidRPr="00F47BA9">
        <w:rPr>
          <w:rFonts w:ascii="Times New Roman" w:eastAsia="仿宋" w:hAnsi="Times New Roman"/>
          <w:sz w:val="24"/>
          <w:lang w:eastAsia="zh-CN"/>
        </w:rPr>
        <w:t>被基金份额持有人大会解任；</w:t>
      </w:r>
    </w:p>
    <w:p w14:paraId="169911F6"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w:t>
      </w:r>
      <w:r w:rsidRPr="00F47BA9">
        <w:rPr>
          <w:rFonts w:ascii="Times New Roman" w:eastAsia="仿宋" w:hAnsi="Times New Roman"/>
          <w:sz w:val="24"/>
          <w:lang w:eastAsia="zh-CN"/>
        </w:rPr>
        <w:t>依法解散、被依法撤销或被依法宣告破产；</w:t>
      </w:r>
    </w:p>
    <w:p w14:paraId="0952BDFF"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）法律法规及中国证监会规定的和《基金合同》约定的其他</w:t>
      </w:r>
      <w:r w:rsidRPr="00F47BA9">
        <w:rPr>
          <w:rFonts w:ascii="Times New Roman" w:eastAsia="仿宋" w:hAnsi="Times New Roman"/>
          <w:sz w:val="24"/>
          <w:lang w:eastAsia="zh-CN"/>
        </w:rPr>
        <w:t>情形。</w:t>
      </w:r>
    </w:p>
    <w:p w14:paraId="464F98E2"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、基金管理人的更换程序</w:t>
      </w:r>
    </w:p>
    <w:p w14:paraId="76A8E73F"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）提名：</w:t>
      </w:r>
      <w:proofErr w:type="gramStart"/>
      <w:r w:rsidRPr="00F47BA9">
        <w:rPr>
          <w:rFonts w:ascii="Times New Roman" w:eastAsia="仿宋" w:hAnsi="Times New Roman" w:hint="eastAsia"/>
          <w:sz w:val="24"/>
          <w:lang w:eastAsia="zh-CN"/>
        </w:rPr>
        <w:t>新任基金</w:t>
      </w:r>
      <w:proofErr w:type="gramEnd"/>
      <w:r w:rsidRPr="00F47BA9">
        <w:rPr>
          <w:rFonts w:ascii="Times New Roman" w:eastAsia="仿宋" w:hAnsi="Times New Roman" w:hint="eastAsia"/>
          <w:sz w:val="24"/>
          <w:lang w:eastAsia="zh-CN"/>
        </w:rPr>
        <w:t>管理人由基金托管人或由单独或合计持有</w:t>
      </w:r>
      <w:r w:rsidRPr="00F47BA9">
        <w:rPr>
          <w:rFonts w:ascii="Times New Roman" w:eastAsia="仿宋" w:hAnsi="Times New Roman" w:hint="eastAsia"/>
          <w:sz w:val="24"/>
          <w:lang w:eastAsia="zh-CN"/>
        </w:rPr>
        <w:t>10%</w:t>
      </w:r>
      <w:r w:rsidRPr="00F47BA9">
        <w:rPr>
          <w:rFonts w:ascii="Times New Roman" w:eastAsia="仿宋" w:hAnsi="Times New Roman" w:hint="eastAsia"/>
          <w:sz w:val="24"/>
          <w:lang w:eastAsia="zh-CN"/>
        </w:rPr>
        <w:t>以上（含</w:t>
      </w:r>
      <w:r w:rsidRPr="00F47BA9">
        <w:rPr>
          <w:rFonts w:ascii="Times New Roman" w:eastAsia="仿宋" w:hAnsi="Times New Roman" w:hint="eastAsia"/>
          <w:sz w:val="24"/>
          <w:lang w:eastAsia="zh-CN"/>
        </w:rPr>
        <w:t>10%</w:t>
      </w:r>
      <w:r w:rsidRPr="00F47BA9">
        <w:rPr>
          <w:rFonts w:ascii="Times New Roman" w:eastAsia="仿宋" w:hAnsi="Times New Roman" w:hint="eastAsia"/>
          <w:sz w:val="24"/>
          <w:lang w:eastAsia="zh-CN"/>
        </w:rPr>
        <w:t>）基金份额的基金份额持有人提名；</w:t>
      </w:r>
    </w:p>
    <w:p w14:paraId="48BC5139"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）决议：基金份额持有人大会在基金管理人职责终止后</w:t>
      </w:r>
      <w:r w:rsidRPr="00F47BA9">
        <w:rPr>
          <w:rFonts w:ascii="Times New Roman" w:eastAsia="仿宋" w:hAnsi="Times New Roman" w:hint="eastAsia"/>
          <w:sz w:val="24"/>
          <w:lang w:eastAsia="zh-CN"/>
        </w:rPr>
        <w:t>6</w:t>
      </w:r>
      <w:r w:rsidRPr="00F47BA9">
        <w:rPr>
          <w:rFonts w:ascii="Times New Roman" w:eastAsia="仿宋" w:hAnsi="Times New Roman" w:hint="eastAsia"/>
          <w:sz w:val="24"/>
          <w:lang w:eastAsia="zh-CN"/>
        </w:rPr>
        <w:t>个月内对被提名的基金管理人形成决议，该决议需经参加大会的基金份额持有人或其代理人所持表决权的三分之二以上（含三分之二）表决通过，决议自表决通过之日起生效；</w:t>
      </w:r>
    </w:p>
    <w:p w14:paraId="7B84E2ED"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）临时基金管理人：</w:t>
      </w:r>
      <w:proofErr w:type="gramStart"/>
      <w:r w:rsidRPr="00F47BA9">
        <w:rPr>
          <w:rFonts w:ascii="Times New Roman" w:eastAsia="仿宋" w:hAnsi="Times New Roman" w:hint="eastAsia"/>
          <w:sz w:val="24"/>
          <w:lang w:eastAsia="zh-CN"/>
        </w:rPr>
        <w:t>新任基金</w:t>
      </w:r>
      <w:proofErr w:type="gramEnd"/>
      <w:r w:rsidRPr="00F47BA9">
        <w:rPr>
          <w:rFonts w:ascii="Times New Roman" w:eastAsia="仿宋" w:hAnsi="Times New Roman" w:hint="eastAsia"/>
          <w:sz w:val="24"/>
          <w:lang w:eastAsia="zh-CN"/>
        </w:rPr>
        <w:t>管理人产生之前，由中国证监会指定临时基金管理人；</w:t>
      </w:r>
    </w:p>
    <w:p w14:paraId="34029B87"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）备案：基金份额持有人大会更换基金管理人的决议须报中国证监会备案；</w:t>
      </w:r>
    </w:p>
    <w:p w14:paraId="63156694"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5</w:t>
      </w:r>
      <w:r w:rsidRPr="00F47BA9">
        <w:rPr>
          <w:rFonts w:ascii="Times New Roman" w:eastAsia="仿宋" w:hAnsi="Times New Roman" w:hint="eastAsia"/>
          <w:sz w:val="24"/>
          <w:lang w:eastAsia="zh-CN"/>
        </w:rPr>
        <w:t>）公告：基金管理人更换后，由基金托管人在更换基金管理人的基金份额持有人大会决议生效后依照《信息披露办法》的有关规定在规定媒介公告；</w:t>
      </w:r>
    </w:p>
    <w:p w14:paraId="470D221E"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6</w:t>
      </w:r>
      <w:r w:rsidRPr="00F47BA9">
        <w:rPr>
          <w:rFonts w:ascii="Times New Roman" w:eastAsia="仿宋" w:hAnsi="Times New Roman" w:hint="eastAsia"/>
          <w:sz w:val="24"/>
          <w:lang w:eastAsia="zh-CN"/>
        </w:rPr>
        <w:t>）交接：基金管理人职责终止的，基金管理人应妥善保管基金管理业务资料，及时向临时基金管理人或</w:t>
      </w:r>
      <w:proofErr w:type="gramStart"/>
      <w:r w:rsidRPr="00F47BA9">
        <w:rPr>
          <w:rFonts w:ascii="Times New Roman" w:eastAsia="仿宋" w:hAnsi="Times New Roman" w:hint="eastAsia"/>
          <w:sz w:val="24"/>
          <w:lang w:eastAsia="zh-CN"/>
        </w:rPr>
        <w:t>新任基金</w:t>
      </w:r>
      <w:proofErr w:type="gramEnd"/>
      <w:r w:rsidRPr="00F47BA9">
        <w:rPr>
          <w:rFonts w:ascii="Times New Roman" w:eastAsia="仿宋" w:hAnsi="Times New Roman" w:hint="eastAsia"/>
          <w:sz w:val="24"/>
          <w:lang w:eastAsia="zh-CN"/>
        </w:rPr>
        <w:t>管理人办理基金管理业务的移交手续，临时基金管理人或</w:t>
      </w:r>
      <w:proofErr w:type="gramStart"/>
      <w:r w:rsidRPr="00F47BA9">
        <w:rPr>
          <w:rFonts w:ascii="Times New Roman" w:eastAsia="仿宋" w:hAnsi="Times New Roman" w:hint="eastAsia"/>
          <w:sz w:val="24"/>
          <w:lang w:eastAsia="zh-CN"/>
        </w:rPr>
        <w:t>新任基金</w:t>
      </w:r>
      <w:proofErr w:type="gramEnd"/>
      <w:r w:rsidRPr="00F47BA9">
        <w:rPr>
          <w:rFonts w:ascii="Times New Roman" w:eastAsia="仿宋" w:hAnsi="Times New Roman" w:hint="eastAsia"/>
          <w:sz w:val="24"/>
          <w:lang w:eastAsia="zh-CN"/>
        </w:rPr>
        <w:t>管理人应及时接收。</w:t>
      </w:r>
      <w:proofErr w:type="gramStart"/>
      <w:r w:rsidRPr="00F47BA9">
        <w:rPr>
          <w:rFonts w:ascii="Times New Roman" w:eastAsia="仿宋" w:hAnsi="Times New Roman" w:hint="eastAsia"/>
          <w:sz w:val="24"/>
          <w:lang w:eastAsia="zh-CN"/>
        </w:rPr>
        <w:t>新任基金</w:t>
      </w:r>
      <w:proofErr w:type="gramEnd"/>
      <w:r w:rsidRPr="00F47BA9">
        <w:rPr>
          <w:rFonts w:ascii="Times New Roman" w:eastAsia="仿宋" w:hAnsi="Times New Roman" w:hint="eastAsia"/>
          <w:sz w:val="24"/>
          <w:lang w:eastAsia="zh-CN"/>
        </w:rPr>
        <w:t>管理人或临时基金管理人应与基金托管人核对基金资产总值和基金资产净值；</w:t>
      </w:r>
    </w:p>
    <w:p w14:paraId="5DE2B762"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7</w:t>
      </w:r>
      <w:r w:rsidRPr="00F47BA9">
        <w:rPr>
          <w:rFonts w:ascii="Times New Roman" w:eastAsia="仿宋" w:hAnsi="Times New Roman" w:hint="eastAsia"/>
          <w:sz w:val="24"/>
          <w:lang w:eastAsia="zh-CN"/>
        </w:rPr>
        <w:t>）审计：基金管理人职责终止的，应当按照法律法规规定聘请会计师事务所对基金财产进行审计，并将审计结果予以公告，同时报中国证监会备案，审计费从基金财产中列支；</w:t>
      </w:r>
    </w:p>
    <w:p w14:paraId="5DA20650"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8</w:t>
      </w:r>
      <w:r w:rsidRPr="00F47BA9">
        <w:rPr>
          <w:rFonts w:ascii="Times New Roman" w:eastAsia="仿宋" w:hAnsi="Times New Roman" w:hint="eastAsia"/>
          <w:sz w:val="24"/>
          <w:lang w:eastAsia="zh-CN"/>
        </w:rPr>
        <w:t>）基金名称变更：基金管理人更换后，如果原任或</w:t>
      </w:r>
      <w:proofErr w:type="gramStart"/>
      <w:r w:rsidRPr="00F47BA9">
        <w:rPr>
          <w:rFonts w:ascii="Times New Roman" w:eastAsia="仿宋" w:hAnsi="Times New Roman" w:hint="eastAsia"/>
          <w:sz w:val="24"/>
          <w:lang w:eastAsia="zh-CN"/>
        </w:rPr>
        <w:t>新任基金</w:t>
      </w:r>
      <w:proofErr w:type="gramEnd"/>
      <w:r w:rsidRPr="00F47BA9">
        <w:rPr>
          <w:rFonts w:ascii="Times New Roman" w:eastAsia="仿宋" w:hAnsi="Times New Roman" w:hint="eastAsia"/>
          <w:sz w:val="24"/>
          <w:lang w:eastAsia="zh-CN"/>
        </w:rPr>
        <w:t>管理人要求，</w:t>
      </w:r>
      <w:r w:rsidRPr="00F47BA9">
        <w:rPr>
          <w:rFonts w:ascii="Times New Roman" w:eastAsia="仿宋" w:hAnsi="Times New Roman" w:hint="eastAsia"/>
          <w:sz w:val="24"/>
          <w:lang w:eastAsia="zh-CN"/>
        </w:rPr>
        <w:lastRenderedPageBreak/>
        <w:t>应按其要求替换或删除基金名称中与</w:t>
      </w:r>
      <w:proofErr w:type="gramStart"/>
      <w:r w:rsidRPr="00F47BA9">
        <w:rPr>
          <w:rFonts w:ascii="Times New Roman" w:eastAsia="仿宋" w:hAnsi="Times New Roman" w:hint="eastAsia"/>
          <w:sz w:val="24"/>
          <w:lang w:eastAsia="zh-CN"/>
        </w:rPr>
        <w:t>原基金</w:t>
      </w:r>
      <w:proofErr w:type="gramEnd"/>
      <w:r w:rsidRPr="00F47BA9">
        <w:rPr>
          <w:rFonts w:ascii="Times New Roman" w:eastAsia="仿宋" w:hAnsi="Times New Roman" w:hint="eastAsia"/>
          <w:sz w:val="24"/>
          <w:lang w:eastAsia="zh-CN"/>
        </w:rPr>
        <w:t>管理人有关的名称字样。</w:t>
      </w:r>
    </w:p>
    <w:p w14:paraId="2BD9117E"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（二）基金托管人的更换</w:t>
      </w:r>
    </w:p>
    <w:p w14:paraId="4180CDDD"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、基金托管人职责终止的条件</w:t>
      </w:r>
    </w:p>
    <w:p w14:paraId="05666EE1"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有下列情形之一的，基金托管人职责终止：</w:t>
      </w:r>
    </w:p>
    <w:p w14:paraId="45B86E2D"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w:t>
      </w:r>
      <w:r w:rsidRPr="00F47BA9">
        <w:rPr>
          <w:rFonts w:ascii="Times New Roman" w:eastAsia="仿宋" w:hAnsi="Times New Roman"/>
          <w:sz w:val="24"/>
          <w:lang w:eastAsia="zh-CN"/>
        </w:rPr>
        <w:t>被依法取消基金托管资格；</w:t>
      </w:r>
    </w:p>
    <w:p w14:paraId="4F679647"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w:t>
      </w:r>
      <w:r w:rsidRPr="00F47BA9">
        <w:rPr>
          <w:rFonts w:ascii="Times New Roman" w:eastAsia="仿宋" w:hAnsi="Times New Roman"/>
          <w:sz w:val="24"/>
          <w:lang w:eastAsia="zh-CN"/>
        </w:rPr>
        <w:t>被基金份额持有人大会解任；</w:t>
      </w:r>
    </w:p>
    <w:p w14:paraId="53FD0B24"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w:t>
      </w:r>
      <w:r w:rsidRPr="00F47BA9">
        <w:rPr>
          <w:rFonts w:ascii="Times New Roman" w:eastAsia="仿宋" w:hAnsi="Times New Roman"/>
          <w:sz w:val="24"/>
          <w:lang w:eastAsia="zh-CN"/>
        </w:rPr>
        <w:t>依法解散、被依法撤销或被依法宣告破产；</w:t>
      </w:r>
    </w:p>
    <w:p w14:paraId="2DA14CC1"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）法律法规及中国证监会规定的和《基金合同》约定的其他</w:t>
      </w:r>
      <w:r w:rsidRPr="00F47BA9">
        <w:rPr>
          <w:rFonts w:ascii="Times New Roman" w:eastAsia="仿宋" w:hAnsi="Times New Roman"/>
          <w:sz w:val="24"/>
          <w:lang w:eastAsia="zh-CN"/>
        </w:rPr>
        <w:t>情形。</w:t>
      </w:r>
    </w:p>
    <w:p w14:paraId="200A5870"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、基金托管人的更换程序</w:t>
      </w:r>
      <w:bookmarkEnd w:id="101"/>
      <w:bookmarkEnd w:id="102"/>
    </w:p>
    <w:p w14:paraId="47EF8FBD"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）提名：</w:t>
      </w:r>
      <w:proofErr w:type="gramStart"/>
      <w:r w:rsidRPr="00F47BA9">
        <w:rPr>
          <w:rFonts w:ascii="Times New Roman" w:eastAsia="仿宋" w:hAnsi="Times New Roman" w:hint="eastAsia"/>
          <w:sz w:val="24"/>
          <w:lang w:eastAsia="zh-CN"/>
        </w:rPr>
        <w:t>新任基金</w:t>
      </w:r>
      <w:proofErr w:type="gramEnd"/>
      <w:r w:rsidRPr="00F47BA9">
        <w:rPr>
          <w:rFonts w:ascii="Times New Roman" w:eastAsia="仿宋" w:hAnsi="Times New Roman" w:hint="eastAsia"/>
          <w:sz w:val="24"/>
          <w:lang w:eastAsia="zh-CN"/>
        </w:rPr>
        <w:t>托管人由基金管理人或由单独或合计持有</w:t>
      </w:r>
      <w:r w:rsidRPr="00F47BA9">
        <w:rPr>
          <w:rFonts w:ascii="Times New Roman" w:eastAsia="仿宋" w:hAnsi="Times New Roman" w:hint="eastAsia"/>
          <w:sz w:val="24"/>
          <w:lang w:eastAsia="zh-CN"/>
        </w:rPr>
        <w:t>10%</w:t>
      </w:r>
      <w:r w:rsidRPr="00F47BA9">
        <w:rPr>
          <w:rFonts w:ascii="Times New Roman" w:eastAsia="仿宋" w:hAnsi="Times New Roman" w:hint="eastAsia"/>
          <w:sz w:val="24"/>
          <w:lang w:eastAsia="zh-CN"/>
        </w:rPr>
        <w:t>以上（含</w:t>
      </w:r>
      <w:r w:rsidRPr="00F47BA9">
        <w:rPr>
          <w:rFonts w:ascii="Times New Roman" w:eastAsia="仿宋" w:hAnsi="Times New Roman" w:hint="eastAsia"/>
          <w:sz w:val="24"/>
          <w:lang w:eastAsia="zh-CN"/>
        </w:rPr>
        <w:t>10%</w:t>
      </w:r>
      <w:r w:rsidRPr="00F47BA9">
        <w:rPr>
          <w:rFonts w:ascii="Times New Roman" w:eastAsia="仿宋" w:hAnsi="Times New Roman" w:hint="eastAsia"/>
          <w:sz w:val="24"/>
          <w:lang w:eastAsia="zh-CN"/>
        </w:rPr>
        <w:t>）基金份额的基金份额持有人提名；</w:t>
      </w:r>
    </w:p>
    <w:p w14:paraId="4C6A1156"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）决议：基金份额持有人大会在基金托管人职责终止后</w:t>
      </w:r>
      <w:r w:rsidRPr="00F47BA9">
        <w:rPr>
          <w:rFonts w:ascii="Times New Roman" w:eastAsia="仿宋" w:hAnsi="Times New Roman" w:hint="eastAsia"/>
          <w:sz w:val="24"/>
          <w:lang w:eastAsia="zh-CN"/>
        </w:rPr>
        <w:t>6</w:t>
      </w:r>
      <w:r w:rsidRPr="00F47BA9">
        <w:rPr>
          <w:rFonts w:ascii="Times New Roman" w:eastAsia="仿宋" w:hAnsi="Times New Roman" w:hint="eastAsia"/>
          <w:sz w:val="24"/>
          <w:lang w:eastAsia="zh-CN"/>
        </w:rPr>
        <w:t>个月内对被提名的基金托管人形成决议，该决议需经参加大会的基金份额持有人或其代理人所持表决权的三分之二以上（含三分之二）表决通过，决议自表决通过之日起生效；</w:t>
      </w:r>
    </w:p>
    <w:p w14:paraId="1C27FB9E"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）临时基金托管人：</w:t>
      </w:r>
      <w:proofErr w:type="gramStart"/>
      <w:r w:rsidRPr="00F47BA9">
        <w:rPr>
          <w:rFonts w:ascii="Times New Roman" w:eastAsia="仿宋" w:hAnsi="Times New Roman" w:hint="eastAsia"/>
          <w:sz w:val="24"/>
          <w:lang w:eastAsia="zh-CN"/>
        </w:rPr>
        <w:t>新任基金</w:t>
      </w:r>
      <w:proofErr w:type="gramEnd"/>
      <w:r w:rsidRPr="00F47BA9">
        <w:rPr>
          <w:rFonts w:ascii="Times New Roman" w:eastAsia="仿宋" w:hAnsi="Times New Roman" w:hint="eastAsia"/>
          <w:sz w:val="24"/>
          <w:lang w:eastAsia="zh-CN"/>
        </w:rPr>
        <w:t>托管人产生之前，由中国证监会指定临时基金托管人；</w:t>
      </w:r>
    </w:p>
    <w:p w14:paraId="44EC9B0A"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）备案：基金份额持有人大会更换基金托管人的决议须报中国证监会备案；</w:t>
      </w:r>
    </w:p>
    <w:p w14:paraId="4404A2C7"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5</w:t>
      </w:r>
      <w:r w:rsidRPr="00F47BA9">
        <w:rPr>
          <w:rFonts w:ascii="Times New Roman" w:eastAsia="仿宋" w:hAnsi="Times New Roman" w:hint="eastAsia"/>
          <w:sz w:val="24"/>
          <w:lang w:eastAsia="zh-CN"/>
        </w:rPr>
        <w:t>）公告：基金托管人更换后，由基金管理人在更换基金托管人的基金份额持有人大会决议生效后依照《信息披露办法》的有关规定在规定媒介公告；</w:t>
      </w:r>
    </w:p>
    <w:p w14:paraId="00E58576"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6</w:t>
      </w:r>
      <w:r w:rsidRPr="00F47BA9">
        <w:rPr>
          <w:rFonts w:ascii="Times New Roman" w:eastAsia="仿宋" w:hAnsi="Times New Roman" w:hint="eastAsia"/>
          <w:sz w:val="24"/>
          <w:lang w:eastAsia="zh-CN"/>
        </w:rPr>
        <w:t>）交接：基金托管人职责终止的，应当妥善保管基金财产和基金托管业务资料，及时办理基金财产和基金托管业务的移交手续，</w:t>
      </w:r>
      <w:proofErr w:type="gramStart"/>
      <w:r w:rsidRPr="00F47BA9">
        <w:rPr>
          <w:rFonts w:ascii="Times New Roman" w:eastAsia="仿宋" w:hAnsi="Times New Roman" w:hint="eastAsia"/>
          <w:sz w:val="24"/>
          <w:lang w:eastAsia="zh-CN"/>
        </w:rPr>
        <w:t>新任基金</w:t>
      </w:r>
      <w:proofErr w:type="gramEnd"/>
      <w:r w:rsidRPr="00F47BA9">
        <w:rPr>
          <w:rFonts w:ascii="Times New Roman" w:eastAsia="仿宋" w:hAnsi="Times New Roman" w:hint="eastAsia"/>
          <w:sz w:val="24"/>
          <w:lang w:eastAsia="zh-CN"/>
        </w:rPr>
        <w:t>托管人或者临时基金托管人应当及时接收。</w:t>
      </w:r>
      <w:proofErr w:type="gramStart"/>
      <w:r w:rsidRPr="00F47BA9">
        <w:rPr>
          <w:rFonts w:ascii="Times New Roman" w:eastAsia="仿宋" w:hAnsi="Times New Roman" w:hint="eastAsia"/>
          <w:sz w:val="24"/>
          <w:lang w:eastAsia="zh-CN"/>
        </w:rPr>
        <w:t>新任基金</w:t>
      </w:r>
      <w:proofErr w:type="gramEnd"/>
      <w:r w:rsidRPr="00F47BA9">
        <w:rPr>
          <w:rFonts w:ascii="Times New Roman" w:eastAsia="仿宋" w:hAnsi="Times New Roman" w:hint="eastAsia"/>
          <w:sz w:val="24"/>
          <w:lang w:eastAsia="zh-CN"/>
        </w:rPr>
        <w:t>托管人或临时基金托管人应与基金管理人核对基金资产总值和基金资产净值；</w:t>
      </w:r>
    </w:p>
    <w:p w14:paraId="003DB931"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7</w:t>
      </w:r>
      <w:r w:rsidRPr="00F47BA9">
        <w:rPr>
          <w:rFonts w:ascii="Times New Roman" w:eastAsia="仿宋" w:hAnsi="Times New Roman" w:hint="eastAsia"/>
          <w:sz w:val="24"/>
          <w:lang w:eastAsia="zh-CN"/>
        </w:rPr>
        <w:t>）审计：基金托管人职责终止的，应当按照法律法规规定聘请会计师事务所对基金财产进行审计，并将审计结果予以公告，同时报中国证监会备案，审计费从基金财产中列支。</w:t>
      </w:r>
    </w:p>
    <w:p w14:paraId="5AF63E8E"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bookmarkStart w:id="103" w:name="_Toc523830007"/>
      <w:bookmarkStart w:id="104" w:name="_Toc125892451"/>
      <w:bookmarkStart w:id="105" w:name="_Toc22454478"/>
      <w:bookmarkStart w:id="106" w:name="_Toc466788866"/>
      <w:r w:rsidRPr="00F47BA9">
        <w:rPr>
          <w:rFonts w:ascii="Times New Roman" w:eastAsia="仿宋" w:hAnsi="Times New Roman" w:hint="eastAsia"/>
          <w:sz w:val="24"/>
          <w:lang w:eastAsia="zh-CN"/>
        </w:rPr>
        <w:t>（三）基金管理人与基金托管人同时更换</w:t>
      </w:r>
    </w:p>
    <w:p w14:paraId="33CAA3F1"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、提名：如果基金管理人和基金托管人同时更换，由单独或合计持有基金</w:t>
      </w:r>
      <w:r w:rsidRPr="00F47BA9">
        <w:rPr>
          <w:rFonts w:ascii="Times New Roman" w:eastAsia="仿宋" w:hAnsi="Times New Roman" w:hint="eastAsia"/>
          <w:sz w:val="24"/>
          <w:lang w:eastAsia="zh-CN"/>
        </w:rPr>
        <w:lastRenderedPageBreak/>
        <w:t>总份额</w:t>
      </w:r>
      <w:r w:rsidRPr="00F47BA9">
        <w:rPr>
          <w:rFonts w:ascii="Times New Roman" w:eastAsia="仿宋" w:hAnsi="Times New Roman" w:hint="eastAsia"/>
          <w:sz w:val="24"/>
          <w:lang w:eastAsia="zh-CN"/>
        </w:rPr>
        <w:t>10%</w:t>
      </w:r>
      <w:r w:rsidRPr="00F47BA9">
        <w:rPr>
          <w:rFonts w:ascii="Times New Roman" w:eastAsia="仿宋" w:hAnsi="Times New Roman" w:hint="eastAsia"/>
          <w:sz w:val="24"/>
          <w:lang w:eastAsia="zh-CN"/>
        </w:rPr>
        <w:t>以上（含</w:t>
      </w:r>
      <w:r w:rsidRPr="00F47BA9">
        <w:rPr>
          <w:rFonts w:ascii="Times New Roman" w:eastAsia="仿宋" w:hAnsi="Times New Roman" w:hint="eastAsia"/>
          <w:sz w:val="24"/>
          <w:lang w:eastAsia="zh-CN"/>
        </w:rPr>
        <w:t>10%</w:t>
      </w:r>
      <w:r w:rsidRPr="00F47BA9">
        <w:rPr>
          <w:rFonts w:ascii="Times New Roman" w:eastAsia="仿宋" w:hAnsi="Times New Roman" w:hint="eastAsia"/>
          <w:sz w:val="24"/>
          <w:lang w:eastAsia="zh-CN"/>
        </w:rPr>
        <w:t>）的基金份额持有人提名新的基金管理人和基金托管人；</w:t>
      </w:r>
    </w:p>
    <w:p w14:paraId="0000142B"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、基金管理人和基金托管人的更换分别按上述程序进行；</w:t>
      </w:r>
    </w:p>
    <w:p w14:paraId="1E127144"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、公告：</w:t>
      </w:r>
      <w:proofErr w:type="gramStart"/>
      <w:r w:rsidRPr="00F47BA9">
        <w:rPr>
          <w:rFonts w:ascii="Times New Roman" w:eastAsia="仿宋" w:hAnsi="Times New Roman" w:hint="eastAsia"/>
          <w:sz w:val="24"/>
          <w:lang w:eastAsia="zh-CN"/>
        </w:rPr>
        <w:t>新任基金</w:t>
      </w:r>
      <w:proofErr w:type="gramEnd"/>
      <w:r w:rsidRPr="00F47BA9">
        <w:rPr>
          <w:rFonts w:ascii="Times New Roman" w:eastAsia="仿宋" w:hAnsi="Times New Roman" w:hint="eastAsia"/>
          <w:sz w:val="24"/>
          <w:lang w:eastAsia="zh-CN"/>
        </w:rPr>
        <w:t>管理人和</w:t>
      </w:r>
      <w:proofErr w:type="gramStart"/>
      <w:r w:rsidRPr="00F47BA9">
        <w:rPr>
          <w:rFonts w:ascii="Times New Roman" w:eastAsia="仿宋" w:hAnsi="Times New Roman" w:hint="eastAsia"/>
          <w:sz w:val="24"/>
          <w:lang w:eastAsia="zh-CN"/>
        </w:rPr>
        <w:t>新任基金</w:t>
      </w:r>
      <w:proofErr w:type="gramEnd"/>
      <w:r w:rsidRPr="00F47BA9">
        <w:rPr>
          <w:rFonts w:ascii="Times New Roman" w:eastAsia="仿宋" w:hAnsi="Times New Roman" w:hint="eastAsia"/>
          <w:sz w:val="24"/>
          <w:lang w:eastAsia="zh-CN"/>
        </w:rPr>
        <w:t>托管人应在更换基金管理人和基金托管人的基金份额持有人大会决议生效后依照《信息披露办法》的有关规定在规定媒介上联合公告。</w:t>
      </w:r>
    </w:p>
    <w:p w14:paraId="449007A9"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（四）新任或临时基金管理人接收基金管理业务，或新任或临时基金托管人接收基金财产和基金托管业务前，</w:t>
      </w:r>
      <w:proofErr w:type="gramStart"/>
      <w:r w:rsidRPr="00F47BA9">
        <w:rPr>
          <w:rFonts w:ascii="Times New Roman" w:eastAsia="仿宋" w:hAnsi="Times New Roman" w:hint="eastAsia"/>
          <w:sz w:val="24"/>
          <w:lang w:eastAsia="zh-CN"/>
        </w:rPr>
        <w:t>原基金</w:t>
      </w:r>
      <w:proofErr w:type="gramEnd"/>
      <w:r w:rsidRPr="00F47BA9">
        <w:rPr>
          <w:rFonts w:ascii="Times New Roman" w:eastAsia="仿宋" w:hAnsi="Times New Roman" w:hint="eastAsia"/>
          <w:sz w:val="24"/>
          <w:lang w:eastAsia="zh-CN"/>
        </w:rPr>
        <w:t>管理人或</w:t>
      </w:r>
      <w:proofErr w:type="gramStart"/>
      <w:r w:rsidRPr="00F47BA9">
        <w:rPr>
          <w:rFonts w:ascii="Times New Roman" w:eastAsia="仿宋" w:hAnsi="Times New Roman" w:hint="eastAsia"/>
          <w:sz w:val="24"/>
          <w:lang w:eastAsia="zh-CN"/>
        </w:rPr>
        <w:t>原基金</w:t>
      </w:r>
      <w:proofErr w:type="gramEnd"/>
      <w:r w:rsidRPr="00F47BA9">
        <w:rPr>
          <w:rFonts w:ascii="Times New Roman" w:eastAsia="仿宋" w:hAnsi="Times New Roman" w:hint="eastAsia"/>
          <w:sz w:val="24"/>
          <w:lang w:eastAsia="zh-CN"/>
        </w:rPr>
        <w:t>托管人应依据法律法规和基金合同的规定继续履行相关职责，并保证不做出对基金份额持有人的利益造成损害的行为。</w:t>
      </w:r>
      <w:proofErr w:type="gramStart"/>
      <w:r w:rsidRPr="00F47BA9">
        <w:rPr>
          <w:rFonts w:ascii="Times New Roman" w:eastAsia="仿宋" w:hAnsi="Times New Roman" w:hint="eastAsia"/>
          <w:sz w:val="24"/>
          <w:lang w:eastAsia="zh-CN"/>
        </w:rPr>
        <w:t>原基金</w:t>
      </w:r>
      <w:proofErr w:type="gramEnd"/>
      <w:r w:rsidRPr="00F47BA9">
        <w:rPr>
          <w:rFonts w:ascii="Times New Roman" w:eastAsia="仿宋" w:hAnsi="Times New Roman" w:hint="eastAsia"/>
          <w:sz w:val="24"/>
          <w:lang w:eastAsia="zh-CN"/>
        </w:rPr>
        <w:t>管理人或</w:t>
      </w:r>
      <w:proofErr w:type="gramStart"/>
      <w:r w:rsidRPr="00F47BA9">
        <w:rPr>
          <w:rFonts w:ascii="Times New Roman" w:eastAsia="仿宋" w:hAnsi="Times New Roman" w:hint="eastAsia"/>
          <w:sz w:val="24"/>
          <w:lang w:eastAsia="zh-CN"/>
        </w:rPr>
        <w:t>原基金</w:t>
      </w:r>
      <w:proofErr w:type="gramEnd"/>
      <w:r w:rsidRPr="00F47BA9">
        <w:rPr>
          <w:rFonts w:ascii="Times New Roman" w:eastAsia="仿宋" w:hAnsi="Times New Roman" w:hint="eastAsia"/>
          <w:sz w:val="24"/>
          <w:lang w:eastAsia="zh-CN"/>
        </w:rPr>
        <w:t>托管人在继续履行相关职责期间，仍有权按照基金合同的规定收取基金管理费或基金托管费。</w:t>
      </w:r>
    </w:p>
    <w:p w14:paraId="6482AA5F"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（五）本部</w:t>
      </w:r>
      <w:proofErr w:type="gramStart"/>
      <w:r w:rsidRPr="00F47BA9">
        <w:rPr>
          <w:rFonts w:ascii="Times New Roman" w:eastAsia="仿宋" w:hAnsi="Times New Roman" w:hint="eastAsia"/>
          <w:sz w:val="24"/>
          <w:lang w:eastAsia="zh-CN"/>
        </w:rPr>
        <w:t>分关于</w:t>
      </w:r>
      <w:proofErr w:type="gramEnd"/>
      <w:r w:rsidRPr="00F47BA9">
        <w:rPr>
          <w:rFonts w:ascii="Times New Roman" w:eastAsia="仿宋" w:hAnsi="Times New Roman" w:hint="eastAsia"/>
          <w:sz w:val="24"/>
          <w:lang w:eastAsia="zh-CN"/>
        </w:rPr>
        <w:t>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bookmarkEnd w:id="103"/>
      <w:bookmarkEnd w:id="104"/>
      <w:bookmarkEnd w:id="105"/>
      <w:bookmarkEnd w:id="106"/>
    </w:p>
    <w:p w14:paraId="03CEDF66" w14:textId="77777777" w:rsidR="00FB20DE" w:rsidRPr="00F47BA9" w:rsidRDefault="00A6695E">
      <w:pPr>
        <w:pStyle w:val="1"/>
        <w:pageBreakBefore/>
        <w:jc w:val="center"/>
        <w:rPr>
          <w:rFonts w:ascii="Times New Roman" w:eastAsia="仿宋" w:hAnsi="Times New Roman"/>
          <w:color w:val="auto"/>
          <w:lang w:eastAsia="zh-CN"/>
        </w:rPr>
      </w:pPr>
      <w:bookmarkStart w:id="107" w:name="_Toc121842080"/>
      <w:bookmarkStart w:id="108" w:name="_Toc125892452"/>
      <w:bookmarkStart w:id="109" w:name="_Toc22454479"/>
      <w:bookmarkStart w:id="110" w:name="_Toc523830008"/>
      <w:bookmarkStart w:id="111" w:name="_Toc466788867"/>
      <w:r w:rsidRPr="00F47BA9">
        <w:rPr>
          <w:rFonts w:ascii="Times New Roman" w:eastAsia="仿宋" w:hAnsi="Times New Roman" w:hint="eastAsia"/>
          <w:color w:val="auto"/>
          <w:lang w:eastAsia="zh-CN"/>
        </w:rPr>
        <w:lastRenderedPageBreak/>
        <w:t>十五、禁止行为</w:t>
      </w:r>
      <w:bookmarkEnd w:id="107"/>
    </w:p>
    <w:p w14:paraId="325CFA36"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本协议项下的基金管理人和基金托管人不得从事以下禁止行为：</w:t>
      </w:r>
    </w:p>
    <w:p w14:paraId="33F7BF43"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（一）《基金法》禁止的行为。</w:t>
      </w:r>
    </w:p>
    <w:p w14:paraId="4271386B"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（二）除非法律法规及中国证监会另有规定，托管协议当事人用基金财产从事《基金法》禁止的投资或活动。</w:t>
      </w:r>
    </w:p>
    <w:p w14:paraId="0C8E3ADD"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（三）除《基金法》及其他有关法规、《基金合同》及中国证监会另有规定，基金管理人、基金托管人利用基金财产或职务之便为自身和任何基金份额持有人以外的人谋取利益。</w:t>
      </w:r>
    </w:p>
    <w:p w14:paraId="4774E988"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（四）基金管理人与基金托管人对基金运作过程中任何尚未按有关法规规定的方式公开披露的信息，对他人泄露。</w:t>
      </w:r>
    </w:p>
    <w:p w14:paraId="6B2FD78D"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（五）基金管理人在资金头寸不足的情况下，向基金托管人发送划款指令。</w:t>
      </w:r>
    </w:p>
    <w:p w14:paraId="256D3190"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（六）在资金头寸充足且为基金托管人执行指令留出足够时间的情况下，基金托管人对基金管理人符合法律法规、《基金合同》、本协议的指令拖延或拒绝执行。</w:t>
      </w:r>
    </w:p>
    <w:p w14:paraId="6913262B"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（七）除根据基金管理人指令或《基金合同》另有规定的，基金托管人动用或处分基金财产。</w:t>
      </w:r>
    </w:p>
    <w:p w14:paraId="1EAC3D0E"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（八）基金管理人与基金托管人为同一机构，相互出资或者持有股份。基金托管人、基金管理人在行政上、财务上没有互相独立，其高级基金管理人员或其他从业人员相互兼职。</w:t>
      </w:r>
    </w:p>
    <w:p w14:paraId="50AEF81C"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（九）《基金合同》投资限制中禁止投资的行为。</w:t>
      </w:r>
    </w:p>
    <w:p w14:paraId="63712296"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（十）法律法规、《基金合同》和本协议禁止的其他行为。</w:t>
      </w:r>
    </w:p>
    <w:p w14:paraId="0648BB39"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法律法规或监管部门取消或变更上述禁止性规定的，如适用于本基金，在基金管理人履行适当程序后，则本基金不受上述相关限制或按照变更后的规定执行。</w:t>
      </w:r>
    </w:p>
    <w:p w14:paraId="2F432E4F" w14:textId="77777777" w:rsidR="00FB20DE" w:rsidRPr="00F47BA9" w:rsidRDefault="00A6695E">
      <w:pPr>
        <w:pStyle w:val="1"/>
        <w:pageBreakBefore/>
        <w:jc w:val="center"/>
        <w:rPr>
          <w:rFonts w:ascii="Times New Roman" w:eastAsia="仿宋" w:hAnsi="Times New Roman"/>
          <w:color w:val="auto"/>
          <w:lang w:eastAsia="zh-CN"/>
        </w:rPr>
      </w:pPr>
      <w:bookmarkStart w:id="112" w:name="_Toc121842081"/>
      <w:r w:rsidRPr="00F47BA9">
        <w:rPr>
          <w:rFonts w:ascii="Times New Roman" w:eastAsia="仿宋" w:hAnsi="Times New Roman" w:hint="eastAsia"/>
          <w:color w:val="auto"/>
          <w:lang w:eastAsia="zh-CN"/>
        </w:rPr>
        <w:lastRenderedPageBreak/>
        <w:t>十六、基金托管协议的变更、终止与基金财产的清算</w:t>
      </w:r>
      <w:bookmarkEnd w:id="108"/>
      <w:bookmarkEnd w:id="112"/>
    </w:p>
    <w:p w14:paraId="3F5453CE"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bookmarkStart w:id="113" w:name="_Toc510842757"/>
      <w:r w:rsidRPr="00F47BA9">
        <w:rPr>
          <w:rFonts w:ascii="Times New Roman" w:eastAsia="仿宋" w:hAnsi="Times New Roman" w:hint="eastAsia"/>
          <w:sz w:val="24"/>
          <w:lang w:eastAsia="zh-CN"/>
        </w:rPr>
        <w:t>（一）基金托管协议的变更</w:t>
      </w:r>
      <w:bookmarkEnd w:id="113"/>
    </w:p>
    <w:p w14:paraId="211FEE23"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协议双方当事人经协商一致，可以对协议进行修改。修改后的新协议，其内容不得与《基金合同》的规定有任何冲突。变更基金托管协议涉及法律法规规定或《基金合同》约定应经基金份额持有人大会决议通过的事项的，应召</w:t>
      </w:r>
      <w:proofErr w:type="gramStart"/>
      <w:r w:rsidRPr="00F47BA9">
        <w:rPr>
          <w:rFonts w:ascii="Times New Roman" w:eastAsia="仿宋" w:hAnsi="Times New Roman" w:hint="eastAsia"/>
          <w:sz w:val="24"/>
          <w:lang w:eastAsia="zh-CN"/>
        </w:rPr>
        <w:t>开基金</w:t>
      </w:r>
      <w:proofErr w:type="gramEnd"/>
      <w:r w:rsidRPr="00F47BA9">
        <w:rPr>
          <w:rFonts w:ascii="Times New Roman" w:eastAsia="仿宋" w:hAnsi="Times New Roman" w:hint="eastAsia"/>
          <w:sz w:val="24"/>
          <w:lang w:eastAsia="zh-CN"/>
        </w:rPr>
        <w:t>份额持有人大会决议通过。对于法律法规规定或《基金合同》约定可不经基金份额持有人大会决议通过的事项，由基金管理人和基金托管人同意后变更并公告。</w:t>
      </w:r>
    </w:p>
    <w:p w14:paraId="60FF888F"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（二）基金托管协议的终止</w:t>
      </w:r>
    </w:p>
    <w:p w14:paraId="4626B99B"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、《基金合同》终止；</w:t>
      </w:r>
    </w:p>
    <w:p w14:paraId="56AB391D"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、基金托管人解散、依法被撤销、破产，被依法取消基金托管资格或因其他事由造成其他基金托管人接管基金财产；</w:t>
      </w:r>
    </w:p>
    <w:p w14:paraId="01BAE428"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、基金管理人解散、依法被撤销、破产，被依法取消基金管理资格或因其他事由造成其他基金管理人接管基金管理权；</w:t>
      </w:r>
    </w:p>
    <w:p w14:paraId="79CF851B"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、发生《基金法》、《销售办法》、《运作办法》或其他法律法规规定的终止事项。</w:t>
      </w:r>
    </w:p>
    <w:p w14:paraId="29324DF4"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（三）基金财产的清算</w:t>
      </w:r>
    </w:p>
    <w:p w14:paraId="09E55ED6"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、基金财产清算小组</w:t>
      </w:r>
    </w:p>
    <w:p w14:paraId="3F73FF60"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自出现《基金合同》终止事由之日起</w:t>
      </w:r>
      <w:r w:rsidRPr="00F47BA9">
        <w:rPr>
          <w:rFonts w:ascii="Times New Roman" w:eastAsia="仿宋" w:hAnsi="Times New Roman" w:hint="eastAsia"/>
          <w:sz w:val="24"/>
          <w:lang w:eastAsia="zh-CN"/>
        </w:rPr>
        <w:t>30</w:t>
      </w:r>
      <w:r w:rsidRPr="00F47BA9">
        <w:rPr>
          <w:rFonts w:ascii="Times New Roman" w:eastAsia="仿宋" w:hAnsi="Times New Roman" w:hint="eastAsia"/>
          <w:sz w:val="24"/>
          <w:lang w:eastAsia="zh-CN"/>
        </w:rPr>
        <w:t>个工作日内成立基金财产清算小组，基金管理人组织基金财产清算小组并在中国证监会的监督下进行基金清算。</w:t>
      </w:r>
    </w:p>
    <w:p w14:paraId="6018D23A"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基金财产清算小组组成：基金财产清算小组成员由基金管理人、基金托管人、符合《中华人民共和国证券法》规定的注册会计师、律师以及中国证监会指定的人员组成。基金财产清算小组可以聘用必要的工作人员。</w:t>
      </w:r>
    </w:p>
    <w:p w14:paraId="3345D86F"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）基金财产清算小组职责：基金财产清算小组负责基金财产的保管、清理、估价、变现和分配。基金财产清算小组可以依法进行必要的民事活动。</w:t>
      </w:r>
    </w:p>
    <w:p w14:paraId="198CDA3E"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、基金财产清算程序</w:t>
      </w:r>
    </w:p>
    <w:p w14:paraId="4B9D2DAD"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）《基金合同》终止情形出现时，由基金财产清算小组统一接管基金；</w:t>
      </w:r>
    </w:p>
    <w:p w14:paraId="67EE25AE"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）对基金财产和债权债务进行清理和确认；</w:t>
      </w:r>
    </w:p>
    <w:p w14:paraId="36286A44"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）对基金财产进行估值和变现；</w:t>
      </w:r>
    </w:p>
    <w:p w14:paraId="47817550"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lastRenderedPageBreak/>
        <w:t>（</w:t>
      </w: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）制作清算报告；</w:t>
      </w:r>
    </w:p>
    <w:p w14:paraId="4C7E6A42"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5</w:t>
      </w:r>
      <w:r w:rsidRPr="00F47BA9">
        <w:rPr>
          <w:rFonts w:ascii="Times New Roman" w:eastAsia="仿宋" w:hAnsi="Times New Roman" w:hint="eastAsia"/>
          <w:sz w:val="24"/>
          <w:lang w:eastAsia="zh-CN"/>
        </w:rPr>
        <w:t>）聘请会计师事务所对清算报告进行外部审计，聘请律师事务所对清算报告出具法律意见书；</w:t>
      </w:r>
    </w:p>
    <w:p w14:paraId="28BF4AE8"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6</w:t>
      </w:r>
      <w:r w:rsidRPr="00F47BA9">
        <w:rPr>
          <w:rFonts w:ascii="Times New Roman" w:eastAsia="仿宋" w:hAnsi="Times New Roman" w:hint="eastAsia"/>
          <w:sz w:val="24"/>
          <w:lang w:eastAsia="zh-CN"/>
        </w:rPr>
        <w:t>）将清算报告报中国证监会备案并公告；</w:t>
      </w:r>
    </w:p>
    <w:p w14:paraId="4DA97375"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7</w:t>
      </w:r>
      <w:r w:rsidRPr="00F47BA9">
        <w:rPr>
          <w:rFonts w:ascii="Times New Roman" w:eastAsia="仿宋" w:hAnsi="Times New Roman" w:hint="eastAsia"/>
          <w:sz w:val="24"/>
          <w:lang w:eastAsia="zh-CN"/>
        </w:rPr>
        <w:t>）对基金剩余财产进行分配。</w:t>
      </w:r>
    </w:p>
    <w:p w14:paraId="78BF2CC9"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基金财产清算的期限为</w:t>
      </w:r>
      <w:r w:rsidRPr="00F47BA9">
        <w:rPr>
          <w:rFonts w:ascii="Times New Roman" w:eastAsia="仿宋" w:hAnsi="Times New Roman" w:hint="eastAsia"/>
          <w:sz w:val="24"/>
          <w:lang w:eastAsia="zh-CN"/>
        </w:rPr>
        <w:t>6</w:t>
      </w:r>
      <w:r w:rsidRPr="00F47BA9">
        <w:rPr>
          <w:rFonts w:ascii="Times New Roman" w:eastAsia="仿宋" w:hAnsi="Times New Roman" w:hint="eastAsia"/>
          <w:sz w:val="24"/>
          <w:lang w:eastAsia="zh-CN"/>
        </w:rPr>
        <w:t>个月，但因本基金所持证券或基金的流动性受到限制而不能及时变现的，清算期限相应顺延</w:t>
      </w:r>
      <w:r w:rsidRPr="00F47BA9">
        <w:rPr>
          <w:rFonts w:ascii="Times New Roman" w:eastAsia="仿宋" w:hAnsi="Times New Roman"/>
          <w:sz w:val="24"/>
          <w:lang w:eastAsia="zh-CN"/>
        </w:rPr>
        <w:t>。</w:t>
      </w:r>
    </w:p>
    <w:p w14:paraId="592620B1"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、清算费用</w:t>
      </w:r>
    </w:p>
    <w:p w14:paraId="26C101F1"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清算费用是指基金财产清算小组在进行基金清算过程中发生的所有合理费用，清算费用由基金财产清算小组优先从基金剩余财产中支付。</w:t>
      </w:r>
    </w:p>
    <w:p w14:paraId="557433A5"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4</w:t>
      </w:r>
      <w:r w:rsidRPr="00F47BA9">
        <w:rPr>
          <w:rFonts w:ascii="Times New Roman" w:eastAsia="仿宋" w:hAnsi="Times New Roman" w:hint="eastAsia"/>
          <w:sz w:val="24"/>
          <w:lang w:eastAsia="zh-CN"/>
        </w:rPr>
        <w:t>、基金财产清算剩余资产的分配</w:t>
      </w:r>
    </w:p>
    <w:p w14:paraId="65EE2A83"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依据基金财产清算的分配方案，将基金财产清算后的全部剩余资产扣除基金财产清算费用、交纳所欠税款并清偿基金债务后，按基金份额持有人持有的各类基金份额比例进行分配。基金清算结束后，管理人应及时对基金证券账户和基金托管账户等账户进行销户，基金托管人应在销</w:t>
      </w:r>
      <w:proofErr w:type="gramStart"/>
      <w:r w:rsidRPr="00F47BA9">
        <w:rPr>
          <w:rFonts w:ascii="Times New Roman" w:eastAsia="仿宋" w:hAnsi="Times New Roman" w:hint="eastAsia"/>
          <w:sz w:val="24"/>
          <w:lang w:eastAsia="zh-CN"/>
        </w:rPr>
        <w:t>户过程</w:t>
      </w:r>
      <w:proofErr w:type="gramEnd"/>
      <w:r w:rsidRPr="00F47BA9">
        <w:rPr>
          <w:rFonts w:ascii="Times New Roman" w:eastAsia="仿宋" w:hAnsi="Times New Roman" w:hint="eastAsia"/>
          <w:sz w:val="24"/>
          <w:lang w:eastAsia="zh-CN"/>
        </w:rPr>
        <w:t>中应予以配合和协助。</w:t>
      </w:r>
    </w:p>
    <w:p w14:paraId="1C931059"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其中，对于投资者通过直销机构认购、申购的</w:t>
      </w:r>
      <w:r w:rsidRPr="00F47BA9">
        <w:rPr>
          <w:rFonts w:ascii="Times New Roman" w:eastAsia="仿宋" w:hAnsi="Times New Roman" w:hint="eastAsia"/>
          <w:sz w:val="24"/>
          <w:lang w:eastAsia="zh-CN"/>
        </w:rPr>
        <w:t>C</w:t>
      </w:r>
      <w:r w:rsidRPr="00F47BA9">
        <w:rPr>
          <w:rFonts w:ascii="Times New Roman" w:eastAsia="仿宋" w:hAnsi="Times New Roman" w:hint="eastAsia"/>
          <w:sz w:val="24"/>
          <w:lang w:eastAsia="zh-CN"/>
        </w:rPr>
        <w:t>类基金份额，收取的销售服务费将在基金合同终止时随</w:t>
      </w:r>
      <w:proofErr w:type="gramStart"/>
      <w:r w:rsidRPr="00F47BA9">
        <w:rPr>
          <w:rFonts w:ascii="Times New Roman" w:eastAsia="仿宋" w:hAnsi="Times New Roman" w:hint="eastAsia"/>
          <w:sz w:val="24"/>
          <w:lang w:eastAsia="zh-CN"/>
        </w:rPr>
        <w:t>清算款</w:t>
      </w:r>
      <w:proofErr w:type="gramEnd"/>
      <w:r w:rsidRPr="00F47BA9">
        <w:rPr>
          <w:rFonts w:ascii="Times New Roman" w:eastAsia="仿宋" w:hAnsi="Times New Roman" w:hint="eastAsia"/>
          <w:sz w:val="24"/>
          <w:lang w:eastAsia="zh-CN"/>
        </w:rPr>
        <w:t>一并返还给投资者；对于投资者持续持有期限超过一年后继续收取的</w:t>
      </w:r>
      <w:r w:rsidRPr="00F47BA9">
        <w:rPr>
          <w:rFonts w:ascii="Times New Roman" w:eastAsia="仿宋" w:hAnsi="Times New Roman" w:hint="eastAsia"/>
          <w:sz w:val="24"/>
          <w:lang w:eastAsia="zh-CN"/>
        </w:rPr>
        <w:t>C</w:t>
      </w:r>
      <w:r w:rsidRPr="00F47BA9">
        <w:rPr>
          <w:rFonts w:ascii="Times New Roman" w:eastAsia="仿宋" w:hAnsi="Times New Roman" w:hint="eastAsia"/>
          <w:sz w:val="24"/>
          <w:lang w:eastAsia="zh-CN"/>
        </w:rPr>
        <w:t>类基金份额销售服务费，将在基金合同终止时随</w:t>
      </w:r>
      <w:proofErr w:type="gramStart"/>
      <w:r w:rsidRPr="00F47BA9">
        <w:rPr>
          <w:rFonts w:ascii="Times New Roman" w:eastAsia="仿宋" w:hAnsi="Times New Roman" w:hint="eastAsia"/>
          <w:sz w:val="24"/>
          <w:lang w:eastAsia="zh-CN"/>
        </w:rPr>
        <w:t>清算款</w:t>
      </w:r>
      <w:proofErr w:type="gramEnd"/>
      <w:r w:rsidRPr="00F47BA9">
        <w:rPr>
          <w:rFonts w:ascii="Times New Roman" w:eastAsia="仿宋" w:hAnsi="Times New Roman" w:hint="eastAsia"/>
          <w:sz w:val="24"/>
          <w:lang w:eastAsia="zh-CN"/>
        </w:rPr>
        <w:t>一并返还给投资者。</w:t>
      </w:r>
    </w:p>
    <w:p w14:paraId="7CE1E12B"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5</w:t>
      </w:r>
      <w:r w:rsidRPr="00F47BA9">
        <w:rPr>
          <w:rFonts w:ascii="Times New Roman" w:eastAsia="仿宋" w:hAnsi="Times New Roman" w:hint="eastAsia"/>
          <w:sz w:val="24"/>
          <w:lang w:eastAsia="zh-CN"/>
        </w:rPr>
        <w:t>、基金财产清算的公告</w:t>
      </w:r>
    </w:p>
    <w:p w14:paraId="008818F3"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清算过程中的有关重大事项须及时公告；基金财产清算报告</w:t>
      </w:r>
      <w:proofErr w:type="gramStart"/>
      <w:r w:rsidRPr="00F47BA9">
        <w:rPr>
          <w:rFonts w:ascii="Times New Roman" w:eastAsia="仿宋" w:hAnsi="Times New Roman" w:hint="eastAsia"/>
          <w:sz w:val="24"/>
          <w:lang w:eastAsia="zh-CN"/>
        </w:rPr>
        <w:t>经符合</w:t>
      </w:r>
      <w:proofErr w:type="gramEnd"/>
      <w:r w:rsidRPr="00F47BA9">
        <w:rPr>
          <w:rFonts w:ascii="Times New Roman" w:eastAsia="仿宋" w:hAnsi="Times New Roman" w:hint="eastAsia"/>
          <w:sz w:val="24"/>
          <w:lang w:eastAsia="zh-CN"/>
        </w:rPr>
        <w:t>《中华人民共和国证券法》规定的会计师事务所审计并由律师事务所出具法律意见书后报中国证监会备案并公告。基金财产清算公告于基金财产清算报告报中国证监会备案后</w:t>
      </w:r>
      <w:r w:rsidRPr="00F47BA9">
        <w:rPr>
          <w:rFonts w:ascii="Times New Roman" w:eastAsia="仿宋" w:hAnsi="Times New Roman" w:hint="eastAsia"/>
          <w:sz w:val="24"/>
          <w:lang w:eastAsia="zh-CN"/>
        </w:rPr>
        <w:t>5</w:t>
      </w:r>
      <w:r w:rsidRPr="00F47BA9">
        <w:rPr>
          <w:rFonts w:ascii="Times New Roman" w:eastAsia="仿宋" w:hAnsi="Times New Roman" w:hint="eastAsia"/>
          <w:sz w:val="24"/>
          <w:lang w:eastAsia="zh-CN"/>
        </w:rPr>
        <w:t>个工作日内由基金财产清算小组进行公告，基金财产清算小组应当将清算报告登载在规定网站上，并将清算报告提示性公告登载在规定报刊上。</w:t>
      </w:r>
    </w:p>
    <w:p w14:paraId="0031CC2B"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6</w:t>
      </w:r>
      <w:r w:rsidRPr="00F47BA9">
        <w:rPr>
          <w:rFonts w:ascii="Times New Roman" w:eastAsia="仿宋" w:hAnsi="Times New Roman" w:hint="eastAsia"/>
          <w:sz w:val="24"/>
          <w:lang w:eastAsia="zh-CN"/>
        </w:rPr>
        <w:t>、基金财产清算账册及文件的保存</w:t>
      </w:r>
    </w:p>
    <w:p w14:paraId="11722F58" w14:textId="77777777" w:rsidR="00FB20DE" w:rsidRPr="00F47BA9" w:rsidRDefault="00A6695E">
      <w:pPr>
        <w:tabs>
          <w:tab w:val="left" w:pos="1260"/>
        </w:tabs>
        <w:spacing w:after="0" w:line="360" w:lineRule="auto"/>
        <w:ind w:firstLine="480"/>
        <w:rPr>
          <w:rFonts w:ascii="Times New Roman" w:eastAsia="仿宋" w:hAnsi="Times New Roman"/>
          <w:lang w:eastAsia="zh-CN"/>
        </w:rPr>
      </w:pPr>
      <w:r w:rsidRPr="00F47BA9">
        <w:rPr>
          <w:rFonts w:ascii="Times New Roman" w:eastAsia="仿宋" w:hAnsi="Times New Roman" w:hint="eastAsia"/>
          <w:sz w:val="24"/>
          <w:lang w:eastAsia="zh-CN"/>
        </w:rPr>
        <w:t>基金财产清算账册及有关文件由基金托管人保存，保存期限不低于法律法规或监管机关规定的最低期限</w:t>
      </w:r>
      <w:r w:rsidRPr="00F47BA9">
        <w:rPr>
          <w:rFonts w:ascii="Times New Roman" w:eastAsia="仿宋" w:hAnsi="Times New Roman"/>
          <w:sz w:val="24"/>
          <w:lang w:eastAsia="zh-CN"/>
        </w:rPr>
        <w:t>。</w:t>
      </w:r>
    </w:p>
    <w:p w14:paraId="648EF7E7" w14:textId="77777777" w:rsidR="00FB20DE" w:rsidRPr="00F47BA9" w:rsidRDefault="00A6695E">
      <w:pPr>
        <w:pStyle w:val="1"/>
        <w:pageBreakBefore/>
        <w:jc w:val="center"/>
        <w:rPr>
          <w:rFonts w:ascii="Times New Roman" w:eastAsia="仿宋" w:hAnsi="Times New Roman"/>
          <w:color w:val="auto"/>
          <w:lang w:eastAsia="zh-CN"/>
        </w:rPr>
      </w:pPr>
      <w:bookmarkStart w:id="114" w:name="_Toc121842082"/>
      <w:bookmarkStart w:id="115" w:name="_Toc125892453"/>
      <w:r w:rsidRPr="00F47BA9">
        <w:rPr>
          <w:rFonts w:ascii="Times New Roman" w:eastAsia="仿宋" w:hAnsi="Times New Roman" w:hint="eastAsia"/>
          <w:color w:val="auto"/>
          <w:lang w:eastAsia="zh-CN"/>
        </w:rPr>
        <w:lastRenderedPageBreak/>
        <w:t>十七、违约责任</w:t>
      </w:r>
      <w:bookmarkEnd w:id="109"/>
      <w:bookmarkEnd w:id="110"/>
      <w:bookmarkEnd w:id="111"/>
      <w:bookmarkEnd w:id="114"/>
      <w:bookmarkEnd w:id="115"/>
    </w:p>
    <w:p w14:paraId="5BC93E72"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（一）基金管理人或基金托管人不履行本协议或履行本协议不符合约定的，应当承担违约责任。</w:t>
      </w:r>
    </w:p>
    <w:p w14:paraId="526D79F9"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（二）</w:t>
      </w:r>
      <w:bookmarkStart w:id="116" w:name="OLE_LINK3"/>
      <w:r w:rsidRPr="00F47BA9">
        <w:rPr>
          <w:rFonts w:ascii="Times New Roman" w:eastAsia="仿宋" w:hAnsi="Times New Roman" w:hint="eastAsia"/>
          <w:sz w:val="24"/>
          <w:lang w:eastAsia="zh-CN"/>
        </w:rPr>
        <w:t>基金管理人、基金托管人在履行各自职责的过程中，违反《基金法》等法律法规或者本协议约定，给基金财产或者基金份额持有人造成损害的，应当分别对各自的行为依法承担赔偿责任；因共同行为给基金财产或者基金份额持有人造成损害的，应当承担连带赔偿责任，对损失的赔偿，仅限于直接损失。一方承担连带责任后有权根据另一方过错程度向另一方追偿。</w:t>
      </w:r>
      <w:bookmarkEnd w:id="116"/>
      <w:r w:rsidRPr="00F47BA9">
        <w:rPr>
          <w:rFonts w:ascii="Times New Roman" w:eastAsia="仿宋" w:hAnsi="Times New Roman" w:hint="eastAsia"/>
          <w:sz w:val="24"/>
          <w:lang w:eastAsia="zh-CN"/>
        </w:rPr>
        <w:t>但是发生下列情况，当事人免责：</w:t>
      </w:r>
    </w:p>
    <w:p w14:paraId="4CED2823"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1</w:t>
      </w:r>
      <w:r w:rsidRPr="00F47BA9">
        <w:rPr>
          <w:rFonts w:ascii="Times New Roman" w:eastAsia="仿宋" w:hAnsi="Times New Roman" w:hint="eastAsia"/>
          <w:sz w:val="24"/>
          <w:lang w:eastAsia="zh-CN"/>
        </w:rPr>
        <w:t>、不可抗力；</w:t>
      </w:r>
    </w:p>
    <w:p w14:paraId="4129A905"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2</w:t>
      </w:r>
      <w:r w:rsidRPr="00F47BA9">
        <w:rPr>
          <w:rFonts w:ascii="Times New Roman" w:eastAsia="仿宋" w:hAnsi="Times New Roman" w:hint="eastAsia"/>
          <w:sz w:val="24"/>
          <w:lang w:eastAsia="zh-CN"/>
        </w:rPr>
        <w:t>、基金管理人和</w:t>
      </w:r>
      <w:r w:rsidRPr="00F47BA9">
        <w:rPr>
          <w:rFonts w:ascii="Times New Roman" w:eastAsia="仿宋" w:hAnsi="Times New Roman" w:hint="eastAsia"/>
          <w:sz w:val="24"/>
          <w:lang w:eastAsia="zh-CN"/>
        </w:rPr>
        <w:t>/</w:t>
      </w:r>
      <w:r w:rsidRPr="00F47BA9">
        <w:rPr>
          <w:rFonts w:ascii="Times New Roman" w:eastAsia="仿宋" w:hAnsi="Times New Roman" w:hint="eastAsia"/>
          <w:sz w:val="24"/>
          <w:lang w:eastAsia="zh-CN"/>
        </w:rPr>
        <w:t>或基金托管人按照当时有效的法律法规、市场交易规则或中国证监会的规定作为或不作为而造成的损失等；</w:t>
      </w:r>
    </w:p>
    <w:p w14:paraId="76460AA4"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3</w:t>
      </w:r>
      <w:r w:rsidRPr="00F47BA9">
        <w:rPr>
          <w:rFonts w:ascii="Times New Roman" w:eastAsia="仿宋" w:hAnsi="Times New Roman" w:hint="eastAsia"/>
          <w:sz w:val="24"/>
          <w:lang w:eastAsia="zh-CN"/>
        </w:rPr>
        <w:t>、基金管理人由于按照基金合同规定的投资原则行使或不行使其投资权而造成的损失等。</w:t>
      </w:r>
    </w:p>
    <w:p w14:paraId="78133002"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如果由于本协议一方当事人（“违约方”）的违约行为给基金资产或基金投资者造成损失，而另一方当事人（“守约方”）赔偿了基金资产或基金投资者的损失，则守约方有权向违约方追索由此遭受的所有直接损失。</w:t>
      </w:r>
    </w:p>
    <w:p w14:paraId="1325B570"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当事人一方违约，另一方在职责范围内有义务及时采取必要的措施，尽力防止损失的扩大。没有采取适当措施致使损失进一步扩大的，不得就扩大的损失要求赔偿。非违约方因防止损失扩大而支出的合理费用由违约方承担。</w:t>
      </w:r>
    </w:p>
    <w:p w14:paraId="28AE5524"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由于基金管理人、基金托管人不可控制的因素导致业务出现差错，基金管理人和基金托管人虽然已经采取必要、适当、合理的措施进行检查，但是未能发现该错误或未能避免错误发生的，由此造成基金资产或基金投资者损失，基金管理人和基金托管人免除赔偿责任。但基金管理人和基金托管人应当积极采取必要的措施消除或降低由此造成的影响。</w:t>
      </w:r>
    </w:p>
    <w:p w14:paraId="43051C8C"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（三）托管协议当事人违反托管协议，给另一方当事人造成损失的，应承担赔偿责任。</w:t>
      </w:r>
    </w:p>
    <w:p w14:paraId="3624F1DD"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（四）违约行为虽已发生，但本协议能够继续履行的，在最大限度地保护基金份额持有人利益的前提下，基金管理人和基金托管人应当继续履行本协议。</w:t>
      </w:r>
      <w:bookmarkStart w:id="117" w:name="_Toc523830010"/>
      <w:bookmarkStart w:id="118" w:name="_Toc466788868"/>
      <w:bookmarkStart w:id="119" w:name="_Toc22454480"/>
      <w:bookmarkStart w:id="120" w:name="_Toc125892454"/>
    </w:p>
    <w:p w14:paraId="425F7E4E"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lastRenderedPageBreak/>
        <w:t>（五）本协议所指损失均为直接损失。</w:t>
      </w:r>
    </w:p>
    <w:p w14:paraId="647D5A10" w14:textId="77777777" w:rsidR="00FB20DE" w:rsidRPr="00F47BA9" w:rsidRDefault="00A6695E">
      <w:pPr>
        <w:pStyle w:val="1"/>
        <w:pageBreakBefore/>
        <w:jc w:val="center"/>
        <w:rPr>
          <w:rFonts w:ascii="Times New Roman" w:eastAsia="仿宋" w:hAnsi="Times New Roman"/>
          <w:color w:val="auto"/>
          <w:lang w:eastAsia="zh-CN"/>
        </w:rPr>
      </w:pPr>
      <w:bookmarkStart w:id="121" w:name="_Toc121842083"/>
      <w:r w:rsidRPr="00F47BA9">
        <w:rPr>
          <w:rFonts w:ascii="Times New Roman" w:eastAsia="仿宋" w:hAnsi="Times New Roman" w:hint="eastAsia"/>
          <w:color w:val="auto"/>
          <w:lang w:eastAsia="zh-CN"/>
        </w:rPr>
        <w:lastRenderedPageBreak/>
        <w:t>十八、争议</w:t>
      </w:r>
      <w:bookmarkEnd w:id="117"/>
      <w:bookmarkEnd w:id="118"/>
      <w:bookmarkEnd w:id="119"/>
      <w:r w:rsidRPr="00F47BA9">
        <w:rPr>
          <w:rFonts w:ascii="Times New Roman" w:eastAsia="仿宋" w:hAnsi="Times New Roman" w:hint="eastAsia"/>
          <w:color w:val="auto"/>
          <w:lang w:eastAsia="zh-CN"/>
        </w:rPr>
        <w:t>解决方式</w:t>
      </w:r>
      <w:bookmarkEnd w:id="120"/>
      <w:bookmarkEnd w:id="121"/>
    </w:p>
    <w:p w14:paraId="37F50EF3"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bookmarkStart w:id="122" w:name="_Toc22454481"/>
      <w:bookmarkStart w:id="123" w:name="_Toc125892455"/>
      <w:bookmarkStart w:id="124" w:name="_Toc523830011"/>
      <w:bookmarkStart w:id="125" w:name="_Toc466788869"/>
      <w:r w:rsidRPr="00F47BA9">
        <w:rPr>
          <w:rFonts w:ascii="Times New Roman" w:eastAsia="仿宋" w:hAnsi="Times New Roman" w:hint="eastAsia"/>
          <w:sz w:val="24"/>
          <w:lang w:eastAsia="zh-CN"/>
        </w:rPr>
        <w:t>双方当事人同意，因本协议而产生的或与本协议有关的一切争议，应通过友好协商或者调解解决。托管协议当事人不愿通过协商、调解解决或者协商、调解不成的，应当将争议提交上海国际经济贸易仲裁委员会，根据该会届时有效的仲裁规则进行仲裁，仲裁的地点在上海市，仲裁裁决是终局的，并对双方当事人均有约束力。除非仲裁裁决另有决定，仲裁费用、律师费用由败诉方承担。</w:t>
      </w:r>
    </w:p>
    <w:p w14:paraId="4F4B52C6"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争议处理期间，双方当事人应恪守各自的职责，继续忠实、勤勉、尽责地履行《基金合同》和本协议规定的义务，维护基金份额持有人的合法权益。</w:t>
      </w:r>
    </w:p>
    <w:p w14:paraId="17B34F3F"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本协议受中华人民共和国法律（为本协议之目的，在此不包括香港特别行政区、澳门特别行政区和台湾地区法律）管辖并从其解释。</w:t>
      </w:r>
    </w:p>
    <w:p w14:paraId="54F3EB24" w14:textId="77777777" w:rsidR="00FB20DE" w:rsidRPr="00F47BA9" w:rsidRDefault="00A6695E">
      <w:pPr>
        <w:pStyle w:val="1"/>
        <w:pageBreakBefore/>
        <w:jc w:val="center"/>
        <w:rPr>
          <w:rFonts w:ascii="Times New Roman" w:eastAsia="仿宋" w:hAnsi="Times New Roman"/>
          <w:color w:val="auto"/>
          <w:lang w:eastAsia="zh-CN"/>
        </w:rPr>
      </w:pPr>
      <w:bookmarkStart w:id="126" w:name="_Toc121842084"/>
      <w:r w:rsidRPr="00F47BA9">
        <w:rPr>
          <w:rFonts w:ascii="Times New Roman" w:eastAsia="仿宋" w:hAnsi="Times New Roman" w:hint="eastAsia"/>
          <w:color w:val="auto"/>
          <w:lang w:eastAsia="zh-CN"/>
        </w:rPr>
        <w:lastRenderedPageBreak/>
        <w:t>十九、基金托管协议的效力</w:t>
      </w:r>
      <w:bookmarkEnd w:id="122"/>
      <w:bookmarkEnd w:id="123"/>
      <w:bookmarkEnd w:id="124"/>
      <w:bookmarkEnd w:id="125"/>
      <w:bookmarkEnd w:id="126"/>
    </w:p>
    <w:p w14:paraId="2C90BA51"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一）基金管理人在向中国证监会申请募集注册时提交的基金托管协议草案，应经托管协议当事人双方加盖公章或合同专用章以及双方法定代表人或授权代表签字或盖章，协议当事人双方根据中国证监会的意见修改托管协议草案。托管协议以报中国证监会注册的文本为正式文本。</w:t>
      </w:r>
    </w:p>
    <w:p w14:paraId="47488107"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（二）基金托管协议自《基金合同》成立之日起成立，自《基金合同》生效之日起生效。基金托管协议的有效期自其生效之日起至基金财产清算结果报中国证监会备案并公告之日止。</w:t>
      </w:r>
    </w:p>
    <w:p w14:paraId="438ACDF2"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（三）基金托管协议自生效之日起对托管协议当事人具有同等的法律约束力。</w:t>
      </w:r>
    </w:p>
    <w:p w14:paraId="3F0BA60A"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（四）基金托管协议正本一式</w:t>
      </w:r>
      <w:r w:rsidRPr="00F47BA9">
        <w:rPr>
          <w:rFonts w:ascii="Times New Roman" w:eastAsia="仿宋" w:hAnsi="Times New Roman"/>
          <w:sz w:val="24"/>
          <w:lang w:eastAsia="zh-CN"/>
        </w:rPr>
        <w:t>3</w:t>
      </w:r>
      <w:r w:rsidRPr="00F47BA9">
        <w:rPr>
          <w:rFonts w:ascii="Times New Roman" w:eastAsia="仿宋" w:hAnsi="Times New Roman" w:hint="eastAsia"/>
          <w:sz w:val="24"/>
          <w:lang w:eastAsia="zh-CN"/>
        </w:rPr>
        <w:t>份，除上报有关监管机构</w:t>
      </w:r>
      <w:r w:rsidRPr="00F47BA9">
        <w:rPr>
          <w:rFonts w:ascii="Times New Roman" w:eastAsia="仿宋" w:hAnsi="Times New Roman"/>
          <w:sz w:val="24"/>
          <w:lang w:eastAsia="zh-CN"/>
        </w:rPr>
        <w:t>1</w:t>
      </w:r>
      <w:r w:rsidRPr="00F47BA9">
        <w:rPr>
          <w:rFonts w:ascii="Times New Roman" w:eastAsia="仿宋" w:hAnsi="Times New Roman" w:hint="eastAsia"/>
          <w:sz w:val="24"/>
          <w:lang w:eastAsia="zh-CN"/>
        </w:rPr>
        <w:t>份外，基金管理人和基金托管人各持有</w:t>
      </w:r>
      <w:r w:rsidRPr="00F47BA9">
        <w:rPr>
          <w:rFonts w:ascii="Times New Roman" w:eastAsia="仿宋" w:hAnsi="Times New Roman"/>
          <w:sz w:val="24"/>
          <w:lang w:eastAsia="zh-CN"/>
        </w:rPr>
        <w:t>1</w:t>
      </w:r>
      <w:r w:rsidRPr="00F47BA9">
        <w:rPr>
          <w:rFonts w:ascii="Times New Roman" w:eastAsia="仿宋" w:hAnsi="Times New Roman" w:hint="eastAsia"/>
          <w:sz w:val="24"/>
          <w:lang w:eastAsia="zh-CN"/>
        </w:rPr>
        <w:t>份，每份具有同等的法律效力。</w:t>
      </w:r>
    </w:p>
    <w:p w14:paraId="3CEDA167" w14:textId="77777777" w:rsidR="00FB20DE" w:rsidRPr="00F47BA9" w:rsidRDefault="00A6695E">
      <w:pPr>
        <w:pStyle w:val="1"/>
        <w:pageBreakBefore/>
        <w:jc w:val="center"/>
        <w:rPr>
          <w:rFonts w:ascii="Times New Roman" w:eastAsia="仿宋" w:hAnsi="Times New Roman"/>
          <w:color w:val="auto"/>
          <w:lang w:eastAsia="zh-CN"/>
        </w:rPr>
      </w:pPr>
      <w:bookmarkStart w:id="127" w:name="_Toc121842085"/>
      <w:r w:rsidRPr="00F47BA9">
        <w:rPr>
          <w:rFonts w:ascii="Times New Roman" w:eastAsia="仿宋" w:hAnsi="Times New Roman" w:hint="eastAsia"/>
          <w:color w:val="auto"/>
          <w:lang w:eastAsia="zh-CN"/>
        </w:rPr>
        <w:lastRenderedPageBreak/>
        <w:t>二十、其他事项</w:t>
      </w:r>
      <w:bookmarkEnd w:id="127"/>
    </w:p>
    <w:p w14:paraId="0355C91C" w14:textId="77777777" w:rsidR="00FB20DE" w:rsidRPr="00F47BA9" w:rsidRDefault="00A6695E">
      <w:pPr>
        <w:tabs>
          <w:tab w:val="left" w:pos="1260"/>
        </w:tabs>
        <w:spacing w:after="0" w:line="360" w:lineRule="auto"/>
        <w:ind w:firstLine="480"/>
        <w:rPr>
          <w:rFonts w:ascii="Times New Roman" w:eastAsia="仿宋" w:hAnsi="Times New Roman"/>
          <w:sz w:val="24"/>
          <w:lang w:eastAsia="zh-CN"/>
        </w:rPr>
      </w:pPr>
      <w:r w:rsidRPr="00F47BA9">
        <w:rPr>
          <w:rFonts w:ascii="Times New Roman" w:eastAsia="仿宋" w:hAnsi="Times New Roman" w:hint="eastAsia"/>
          <w:sz w:val="24"/>
          <w:lang w:eastAsia="zh-CN"/>
        </w:rPr>
        <w:t>本协议未尽事宜，当事人依据基金合同、有关法律法规等规定协商办理。</w:t>
      </w:r>
    </w:p>
    <w:p w14:paraId="30AA95E0" w14:textId="461C5138" w:rsidR="007A256D" w:rsidRDefault="00A6695E" w:rsidP="007A256D">
      <w:pPr>
        <w:pStyle w:val="1"/>
        <w:pageBreakBefore/>
        <w:jc w:val="center"/>
        <w:rPr>
          <w:rFonts w:ascii="Times New Roman" w:eastAsia="仿宋" w:hAnsi="Times New Roman"/>
          <w:color w:val="auto"/>
          <w:lang w:eastAsia="zh-CN"/>
        </w:rPr>
      </w:pPr>
      <w:bookmarkStart w:id="128" w:name="_Toc121842086"/>
      <w:bookmarkStart w:id="129" w:name="_Toc523830014"/>
      <w:bookmarkStart w:id="130" w:name="_Toc22454484"/>
      <w:r w:rsidRPr="00F47BA9">
        <w:rPr>
          <w:rFonts w:ascii="Times New Roman" w:eastAsia="仿宋" w:hAnsi="Times New Roman" w:hint="eastAsia"/>
          <w:color w:val="auto"/>
          <w:lang w:eastAsia="zh-CN"/>
        </w:rPr>
        <w:lastRenderedPageBreak/>
        <w:t>二十一、基金托管协议的签订</w:t>
      </w:r>
      <w:bookmarkEnd w:id="128"/>
      <w:bookmarkEnd w:id="129"/>
      <w:bookmarkEnd w:id="130"/>
    </w:p>
    <w:p w14:paraId="753AFC63" w14:textId="0CA595C5" w:rsidR="00FB20DE" w:rsidRPr="00F47BA9" w:rsidRDefault="00FB20DE">
      <w:pPr>
        <w:spacing w:after="0" w:line="360" w:lineRule="auto"/>
        <w:rPr>
          <w:rFonts w:ascii="Times New Roman" w:eastAsia="仿宋" w:hAnsi="Times New Roman"/>
          <w:sz w:val="24"/>
          <w:lang w:eastAsia="zh-CN"/>
        </w:rPr>
      </w:pPr>
    </w:p>
    <w:sectPr w:rsidR="00FB20DE" w:rsidRPr="00F47BA9">
      <w:headerReference w:type="even" r:id="rId15"/>
      <w:footerReference w:type="first" r:id="rId16"/>
      <w:pgSz w:w="11906" w:h="16838"/>
      <w:pgMar w:top="1440" w:right="1797" w:bottom="1440" w:left="1797" w:header="851" w:footer="992" w:gutter="0"/>
      <w:pgNumType w:start="1"/>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4A2A14F" w16cid:durableId="04A2A14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DF76ED" w14:textId="77777777" w:rsidR="000D4574" w:rsidRDefault="000D4574">
      <w:pPr>
        <w:spacing w:line="240" w:lineRule="auto"/>
      </w:pPr>
      <w:r>
        <w:separator/>
      </w:r>
    </w:p>
  </w:endnote>
  <w:endnote w:type="continuationSeparator" w:id="0">
    <w:p w14:paraId="2D7873FB" w14:textId="77777777" w:rsidR="000D4574" w:rsidRDefault="000D45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96CD" w14:textId="77777777" w:rsidR="00FD4928" w:rsidRDefault="00FD4928">
    <w:pPr>
      <w:pStyle w:val="ab"/>
      <w:rPr>
        <w:rStyle w:val="af6"/>
      </w:rPr>
    </w:pPr>
    <w:r>
      <w:rPr>
        <w:rStyle w:val="af6"/>
      </w:rPr>
      <w:fldChar w:fldCharType="begin"/>
    </w:r>
    <w:r>
      <w:rPr>
        <w:rStyle w:val="af6"/>
      </w:rPr>
      <w:instrText xml:space="preserve">PAGE  </w:instrText>
    </w:r>
    <w:r>
      <w:rPr>
        <w:rStyle w:val="af6"/>
      </w:rPr>
      <w:fldChar w:fldCharType="end"/>
    </w:r>
  </w:p>
  <w:p w14:paraId="51D51FF9" w14:textId="77777777" w:rsidR="00FD4928" w:rsidRDefault="00FD4928">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C20C0" w14:textId="345A26B6" w:rsidR="00FD4928" w:rsidRDefault="00FD4928">
    <w:pPr>
      <w:pStyle w:val="ab"/>
      <w:spacing w:after="0"/>
      <w:jc w:val="center"/>
      <w:rPr>
        <w:rFonts w:ascii="Times New Roman" w:hAnsi="Times New Roman"/>
      </w:rPr>
    </w:pPr>
    <w:r>
      <w:rPr>
        <w:rStyle w:val="af6"/>
        <w:rFonts w:ascii="Times New Roman" w:hAnsi="Times New Roman"/>
      </w:rPr>
      <w:fldChar w:fldCharType="begin"/>
    </w:r>
    <w:r>
      <w:rPr>
        <w:rStyle w:val="af6"/>
        <w:rFonts w:ascii="Times New Roman" w:hAnsi="Times New Roman"/>
      </w:rPr>
      <w:instrText xml:space="preserve">PAGE  </w:instrText>
    </w:r>
    <w:r>
      <w:rPr>
        <w:rStyle w:val="af6"/>
        <w:rFonts w:ascii="Times New Roman" w:hAnsi="Times New Roman"/>
      </w:rPr>
      <w:fldChar w:fldCharType="separate"/>
    </w:r>
    <w:r w:rsidR="007A256D">
      <w:rPr>
        <w:rStyle w:val="af6"/>
        <w:rFonts w:ascii="Times New Roman" w:hAnsi="Times New Roman"/>
        <w:noProof/>
      </w:rPr>
      <w:t>2</w:t>
    </w:r>
    <w:r>
      <w:rPr>
        <w:rStyle w:val="af6"/>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6102249"/>
      <w:docPartObj>
        <w:docPartGallery w:val="Page Numbers (Bottom of Page)"/>
        <w:docPartUnique/>
      </w:docPartObj>
    </w:sdtPr>
    <w:sdtContent>
      <w:p w14:paraId="3E063889" w14:textId="5356D47A" w:rsidR="00FD4928" w:rsidRPr="007A256D" w:rsidRDefault="007A256D" w:rsidP="007A256D">
        <w:pPr>
          <w:pStyle w:val="ab"/>
          <w:jc w:val="center"/>
        </w:pPr>
        <w:r>
          <w:fldChar w:fldCharType="begin"/>
        </w:r>
        <w:r>
          <w:instrText>PAGE   \* MERGEFORMAT</w:instrText>
        </w:r>
        <w:r>
          <w:fldChar w:fldCharType="separate"/>
        </w:r>
        <w:r w:rsidRPr="007A256D">
          <w:rPr>
            <w:noProof/>
            <w:lang w:val="zh-CN" w:eastAsia="zh-CN"/>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F7F1B2" w14:textId="77777777" w:rsidR="000D4574" w:rsidRDefault="000D4574">
      <w:pPr>
        <w:spacing w:after="0"/>
      </w:pPr>
      <w:r>
        <w:separator/>
      </w:r>
    </w:p>
  </w:footnote>
  <w:footnote w:type="continuationSeparator" w:id="0">
    <w:p w14:paraId="382FD697" w14:textId="77777777" w:rsidR="000D4574" w:rsidRDefault="000D457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95123" w14:textId="2EECFC2F" w:rsidR="00FD4928" w:rsidRDefault="00FD4928">
    <w:pPr>
      <w:pStyle w:val="ad"/>
      <w:jc w:val="both"/>
      <w:rPr>
        <w:rFonts w:ascii="仿宋" w:eastAsia="仿宋"/>
        <w:lang w:eastAsia="zh-CN"/>
      </w:rPr>
    </w:pPr>
    <w:r>
      <w:rPr>
        <w:rFonts w:ascii="仿宋" w:eastAsia="仿宋" w:cs="Arial"/>
        <w:noProof/>
        <w:sz w:val="21"/>
        <w:szCs w:val="21"/>
        <w:lang w:eastAsia="zh-CN"/>
      </w:rPr>
      <w:drawing>
        <wp:inline distT="0" distB="0" distL="0" distR="0" wp14:anchorId="11578192" wp14:editId="65126BBE">
          <wp:extent cx="1359535" cy="214630"/>
          <wp:effectExtent l="0" t="0" r="42" b="35"/>
          <wp:docPr id="1" name="图片 0" descr="全称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全称logo.png"/>
                  <pic:cNvPicPr>
                    <a:picLocks noChangeAspect="1"/>
                  </pic:cNvPicPr>
                </pic:nvPicPr>
                <pic:blipFill>
                  <a:blip r:embed="rId1"/>
                  <a:stretch>
                    <a:fillRect/>
                  </a:stretch>
                </pic:blipFill>
                <pic:spPr>
                  <a:xfrm>
                    <a:off x="0" y="0"/>
                    <a:ext cx="1359535" cy="214630"/>
                  </a:xfrm>
                  <a:prstGeom prst="rect">
                    <a:avLst/>
                  </a:prstGeom>
                  <a:noFill/>
                  <a:ln w="9525" cap="flat" cmpd="sng">
                    <a:noFill/>
                    <a:prstDash val="solid"/>
                    <a:miter/>
                  </a:ln>
                </pic:spPr>
              </pic:pic>
            </a:graphicData>
          </a:graphic>
        </wp:inline>
      </w:drawing>
    </w:r>
    <w:r>
      <w:rPr>
        <w:rFonts w:ascii="仿宋" w:eastAsia="仿宋" w:cs="Arial" w:hint="eastAsia"/>
        <w:sz w:val="21"/>
        <w:szCs w:val="21"/>
        <w:lang w:eastAsia="zh-CN"/>
      </w:rPr>
      <w:t xml:space="preserve">     </w:t>
    </w:r>
    <w:r>
      <w:rPr>
        <w:rFonts w:ascii="仿宋" w:eastAsia="仿宋" w:cs="Arial"/>
        <w:sz w:val="21"/>
        <w:szCs w:val="21"/>
        <w:lang w:eastAsia="zh-CN"/>
      </w:rPr>
      <w:t xml:space="preserve">    </w:t>
    </w:r>
    <w:r w:rsidR="00E568D5">
      <w:rPr>
        <w:rFonts w:ascii="仿宋" w:eastAsia="仿宋" w:cs="Arial"/>
        <w:sz w:val="21"/>
        <w:szCs w:val="21"/>
        <w:lang w:eastAsia="zh-CN"/>
      </w:rPr>
      <w:t xml:space="preserve">      </w:t>
    </w:r>
    <w:proofErr w:type="gramStart"/>
    <w:r>
      <w:rPr>
        <w:rFonts w:ascii="仿宋" w:eastAsia="仿宋" w:hint="eastAsia"/>
        <w:lang w:eastAsia="zh-CN"/>
      </w:rPr>
      <w:t>鑫</w:t>
    </w:r>
    <w:proofErr w:type="gramEnd"/>
    <w:r>
      <w:rPr>
        <w:rFonts w:ascii="仿宋" w:eastAsia="仿宋" w:hint="eastAsia"/>
        <w:lang w:eastAsia="zh-CN"/>
      </w:rPr>
      <w:t>元启</w:t>
    </w:r>
    <w:proofErr w:type="gramStart"/>
    <w:r>
      <w:rPr>
        <w:rFonts w:ascii="仿宋" w:eastAsia="仿宋" w:hint="eastAsia"/>
        <w:lang w:eastAsia="zh-CN"/>
      </w:rPr>
      <w:t>鑫</w:t>
    </w:r>
    <w:proofErr w:type="gramEnd"/>
    <w:r>
      <w:rPr>
        <w:rFonts w:ascii="仿宋" w:eastAsia="仿宋" w:hint="eastAsia"/>
        <w:lang w:eastAsia="zh-CN"/>
      </w:rPr>
      <w:t>添益180天持有期债券型证券投资基金-托管协议</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5DED6" w14:textId="4ED6A941" w:rsidR="00FD4928" w:rsidRDefault="00FD4928">
    <w:pPr>
      <w:pStyle w:val="ad"/>
      <w:jc w:val="both"/>
      <w:rPr>
        <w:rFonts w:ascii="仿宋" w:eastAsia="仿宋"/>
        <w:lang w:eastAsia="zh-CN"/>
      </w:rPr>
    </w:pPr>
    <w:r>
      <w:rPr>
        <w:rFonts w:ascii="仿宋" w:eastAsia="仿宋" w:cs="Arial"/>
        <w:noProof/>
        <w:sz w:val="21"/>
        <w:szCs w:val="21"/>
        <w:lang w:eastAsia="zh-CN"/>
      </w:rPr>
      <w:drawing>
        <wp:inline distT="0" distB="0" distL="0" distR="0" wp14:anchorId="0EBC5096" wp14:editId="696C47EE">
          <wp:extent cx="1359535" cy="214630"/>
          <wp:effectExtent l="0" t="0" r="42" b="35"/>
          <wp:docPr id="2" name="图片 0" descr="全称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全称logo.png"/>
                  <pic:cNvPicPr>
                    <a:picLocks noChangeAspect="1"/>
                  </pic:cNvPicPr>
                </pic:nvPicPr>
                <pic:blipFill>
                  <a:blip r:embed="rId1"/>
                  <a:stretch>
                    <a:fillRect/>
                  </a:stretch>
                </pic:blipFill>
                <pic:spPr>
                  <a:xfrm>
                    <a:off x="0" y="0"/>
                    <a:ext cx="1359535" cy="214630"/>
                  </a:xfrm>
                  <a:prstGeom prst="rect">
                    <a:avLst/>
                  </a:prstGeom>
                  <a:noFill/>
                  <a:ln w="9525" cap="flat" cmpd="sng">
                    <a:noFill/>
                    <a:prstDash val="solid"/>
                    <a:miter/>
                  </a:ln>
                </pic:spPr>
              </pic:pic>
            </a:graphicData>
          </a:graphic>
        </wp:inline>
      </w:drawing>
    </w:r>
    <w:r>
      <w:rPr>
        <w:rFonts w:ascii="仿宋" w:eastAsia="仿宋" w:cs="Arial" w:hint="eastAsia"/>
        <w:sz w:val="21"/>
        <w:szCs w:val="21"/>
        <w:lang w:eastAsia="zh-CN"/>
      </w:rPr>
      <w:t xml:space="preserve">        </w:t>
    </w:r>
    <w:r>
      <w:rPr>
        <w:rFonts w:ascii="仿宋" w:eastAsia="仿宋" w:cs="Arial"/>
        <w:sz w:val="21"/>
        <w:szCs w:val="21"/>
        <w:lang w:eastAsia="zh-CN"/>
      </w:rPr>
      <w:t xml:space="preserve"> </w:t>
    </w:r>
    <w:r w:rsidR="00E568D5">
      <w:rPr>
        <w:rFonts w:ascii="仿宋" w:eastAsia="仿宋" w:cs="Arial"/>
        <w:sz w:val="21"/>
        <w:szCs w:val="21"/>
        <w:lang w:eastAsia="zh-CN"/>
      </w:rPr>
      <w:t xml:space="preserve">      </w:t>
    </w:r>
    <w:proofErr w:type="gramStart"/>
    <w:r>
      <w:rPr>
        <w:rFonts w:ascii="仿宋" w:eastAsia="仿宋" w:hint="eastAsia"/>
        <w:lang w:eastAsia="zh-CN"/>
      </w:rPr>
      <w:t>鑫</w:t>
    </w:r>
    <w:proofErr w:type="gramEnd"/>
    <w:r>
      <w:rPr>
        <w:rFonts w:ascii="仿宋" w:eastAsia="仿宋" w:hint="eastAsia"/>
        <w:lang w:eastAsia="zh-CN"/>
      </w:rPr>
      <w:t>元启</w:t>
    </w:r>
    <w:proofErr w:type="gramStart"/>
    <w:r>
      <w:rPr>
        <w:rFonts w:ascii="仿宋" w:eastAsia="仿宋" w:hint="eastAsia"/>
        <w:lang w:eastAsia="zh-CN"/>
      </w:rPr>
      <w:t>鑫</w:t>
    </w:r>
    <w:proofErr w:type="gramEnd"/>
    <w:r>
      <w:rPr>
        <w:rFonts w:ascii="仿宋" w:eastAsia="仿宋" w:hint="eastAsia"/>
        <w:lang w:eastAsia="zh-CN"/>
      </w:rPr>
      <w:t>添益180天持有期债券型证券投资基金-托管协议</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C63DF" w14:textId="0FEDABAD" w:rsidR="00FD4928" w:rsidRDefault="00FD4928">
    <w:pPr>
      <w:pStyle w:val="ad"/>
      <w:jc w:val="left"/>
      <w:rPr>
        <w:rFonts w:ascii="仿宋" w:eastAsia="仿宋"/>
        <w:lang w:eastAsia="zh-CN"/>
      </w:rPr>
    </w:pPr>
    <w:r>
      <w:rPr>
        <w:rFonts w:ascii="仿宋" w:eastAsia="仿宋" w:cs="Arial"/>
        <w:noProof/>
        <w:sz w:val="21"/>
        <w:szCs w:val="21"/>
        <w:lang w:eastAsia="zh-CN"/>
      </w:rPr>
      <w:drawing>
        <wp:inline distT="0" distB="0" distL="0" distR="0" wp14:anchorId="7A107390" wp14:editId="642E500D">
          <wp:extent cx="1359535" cy="214630"/>
          <wp:effectExtent l="0" t="0" r="42" b="35"/>
          <wp:docPr id="3" name="图片 0" descr="全称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0" descr="全称logo.png"/>
                  <pic:cNvPicPr>
                    <a:picLocks noChangeAspect="1"/>
                  </pic:cNvPicPr>
                </pic:nvPicPr>
                <pic:blipFill>
                  <a:blip r:embed="rId1"/>
                  <a:stretch>
                    <a:fillRect/>
                  </a:stretch>
                </pic:blipFill>
                <pic:spPr>
                  <a:xfrm>
                    <a:off x="0" y="0"/>
                    <a:ext cx="1359535" cy="214630"/>
                  </a:xfrm>
                  <a:prstGeom prst="rect">
                    <a:avLst/>
                  </a:prstGeom>
                  <a:noFill/>
                  <a:ln w="9525" cap="flat" cmpd="sng">
                    <a:noFill/>
                    <a:prstDash val="solid"/>
                    <a:miter/>
                  </a:ln>
                </pic:spPr>
              </pic:pic>
            </a:graphicData>
          </a:graphic>
        </wp:inline>
      </w:drawing>
    </w:r>
    <w:r>
      <w:rPr>
        <w:rFonts w:ascii="仿宋" w:eastAsia="仿宋" w:cs="Arial" w:hint="eastAsia"/>
        <w:sz w:val="21"/>
        <w:szCs w:val="21"/>
        <w:lang w:eastAsia="zh-CN"/>
      </w:rPr>
      <w:t xml:space="preserve">    </w:t>
    </w:r>
    <w:r>
      <w:rPr>
        <w:rFonts w:ascii="仿宋" w:eastAsia="仿宋" w:cs="Arial"/>
        <w:sz w:val="21"/>
        <w:szCs w:val="21"/>
        <w:lang w:eastAsia="zh-CN"/>
      </w:rPr>
      <w:t xml:space="preserve">    </w:t>
    </w:r>
    <w:r w:rsidR="00E568D5">
      <w:rPr>
        <w:rFonts w:ascii="仿宋" w:eastAsia="仿宋" w:cs="Arial"/>
        <w:sz w:val="21"/>
        <w:szCs w:val="21"/>
        <w:lang w:eastAsia="zh-CN"/>
      </w:rPr>
      <w:t xml:space="preserve">      </w:t>
    </w:r>
    <w:r w:rsidR="007A256D">
      <w:rPr>
        <w:rFonts w:ascii="仿宋" w:eastAsia="仿宋" w:cs="Arial"/>
        <w:sz w:val="21"/>
        <w:szCs w:val="21"/>
        <w:lang w:eastAsia="zh-CN"/>
      </w:rPr>
      <w:t xml:space="preserve"> </w:t>
    </w:r>
    <w:proofErr w:type="gramStart"/>
    <w:r>
      <w:rPr>
        <w:rFonts w:ascii="仿宋" w:eastAsia="仿宋" w:hint="eastAsia"/>
        <w:lang w:eastAsia="zh-CN"/>
      </w:rPr>
      <w:t>鑫</w:t>
    </w:r>
    <w:proofErr w:type="gramEnd"/>
    <w:r>
      <w:rPr>
        <w:rFonts w:ascii="仿宋" w:eastAsia="仿宋" w:hint="eastAsia"/>
        <w:lang w:eastAsia="zh-CN"/>
      </w:rPr>
      <w:t>元启</w:t>
    </w:r>
    <w:proofErr w:type="gramStart"/>
    <w:r>
      <w:rPr>
        <w:rFonts w:ascii="仿宋" w:eastAsia="仿宋" w:hint="eastAsia"/>
        <w:lang w:eastAsia="zh-CN"/>
      </w:rPr>
      <w:t>鑫</w:t>
    </w:r>
    <w:proofErr w:type="gramEnd"/>
    <w:r>
      <w:rPr>
        <w:rFonts w:ascii="仿宋" w:eastAsia="仿宋" w:hint="eastAsia"/>
        <w:lang w:eastAsia="zh-CN"/>
      </w:rPr>
      <w:t>添益180天持有期债券型证券投资基金-托管协议</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06814" w14:textId="77777777" w:rsidR="00FD4928" w:rsidRDefault="00FD4928">
    <w:r>
      <w:rPr>
        <w:noProof/>
        <w:lang w:eastAsia="zh-CN"/>
      </w:rPr>
      <mc:AlternateContent>
        <mc:Choice Requires="wps">
          <w:drawing>
            <wp:anchor distT="0" distB="0" distL="114300" distR="114300" simplePos="0" relativeHeight="251660288" behindDoc="0" locked="0" layoutInCell="1" allowOverlap="1" wp14:anchorId="5FC1DC8F" wp14:editId="2B3751FC">
              <wp:simplePos x="0" y="0"/>
              <wp:positionH relativeFrom="margin">
                <wp:posOffset>0</wp:posOffset>
              </wp:positionH>
              <wp:positionV relativeFrom="margin">
                <wp:posOffset>0</wp:posOffset>
              </wp:positionV>
              <wp:extent cx="3810000" cy="381000"/>
              <wp:effectExtent l="0" t="0" r="0" b="0"/>
              <wp:wrapNone/>
              <wp:docPr id="7" name="矩形 7"/>
              <wp:cNvGraphicFramePr/>
              <a:graphic xmlns:a="http://schemas.openxmlformats.org/drawingml/2006/main">
                <a:graphicData uri="http://schemas.microsoft.com/office/word/2010/wordprocessingShape">
                  <wps:wsp>
                    <wps:cNvSpPr/>
                    <wps:spPr bwMode="auto">
                      <a:xfrm rot="18900000">
                        <a:off x="0" y="0"/>
                        <a:ext cx="3810000" cy="381000"/>
                      </a:xfrm>
                      <a:prstGeom prst="rect">
                        <a:avLst/>
                      </a:prstGeom>
                      <a:noFill/>
                    </wps:spPr>
                    <wps:txbx>
                      <w:txbxContent>
                        <w:p w14:paraId="71D6B7E7" w14:textId="77777777" w:rsidR="00FD4928" w:rsidRDefault="00FD4928"/>
                      </w:txbxContent>
                    </wps:txbx>
                    <wps:bodyPr lIns="0" tIns="0" rIns="0" bIns="0" numCol="1">
                      <a:prstTxWarp prst="textPlain">
                        <a:avLst>
                          <a:gd name="adj" fmla="val 50000"/>
                        </a:avLst>
                      </a:prstTxWarp>
                    </wps:bodyPr>
                  </wps:wsp>
                </a:graphicData>
              </a:graphic>
            </wp:anchor>
          </w:drawing>
        </mc:Choice>
        <mc:Fallback>
          <w:pict>
            <v:rect w14:anchorId="5FC1DC8F" id="矩形 7" o:spid="_x0000_s1026" style="position:absolute;left:0;text-align:left;margin-left:0;margin-top:0;width:300pt;height:30pt;rotation:-45;z-index:25166028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" filled="f" stroked="f">
              <v:textbox inset="0,0,0,0">
                <w:txbxContent>
                  <w:p w14:paraId="71D6B7E7" w14:textId="77777777" w:rsidR="00FD4928" w:rsidRDefault="00FD4928"/>
                </w:txbxContent>
              </v:textbox>
              <w10:wrap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208E"/>
    <w:multiLevelType w:val="multilevel"/>
    <w:tmpl w:val="0053208E"/>
    <w:lvl w:ilvl="0">
      <w:start w:val="1"/>
      <w:numFmt w:val="decimal"/>
      <w:pStyle w:val="UCAlpha2"/>
      <w:lvlText w:val="(%1)"/>
      <w:legacy w:legacy="1" w:legacySpace="0" w:legacyIndent="681"/>
      <w:lvlJc w:val="left"/>
      <w:pPr>
        <w:ind w:left="1941" w:hanging="681"/>
      </w:pPr>
      <w:rPr>
        <w:rFonts w:ascii="Arial" w:hAnsi="Arial" w:cs="Times New Roman" w:hint="default"/>
        <w:b w:val="0"/>
        <w:i w:val="0"/>
        <w:sz w:val="20"/>
      </w:rPr>
    </w:lvl>
    <w:lvl w:ilvl="1">
      <w:start w:val="1"/>
      <w:numFmt w:val="lowerLetter"/>
      <w:lvlText w:val="%2."/>
      <w:legacy w:legacy="1" w:legacySpace="0" w:legacyIndent="360"/>
      <w:lvlJc w:val="left"/>
      <w:pPr>
        <w:ind w:left="1620" w:hanging="360"/>
      </w:pPr>
      <w:rPr>
        <w:rFonts w:cs="Times New Roman" w:hint="default"/>
      </w:rPr>
    </w:lvl>
    <w:lvl w:ilvl="2">
      <w:start w:val="1"/>
      <w:numFmt w:val="lowerRoman"/>
      <w:lvlText w:val="%3."/>
      <w:legacy w:legacy="1" w:legacySpace="0" w:legacyIndent="180"/>
      <w:lvlJc w:val="right"/>
      <w:pPr>
        <w:ind w:left="2340" w:hanging="180"/>
      </w:pPr>
      <w:rPr>
        <w:rFonts w:cs="Times New Roman" w:hint="default"/>
      </w:rPr>
    </w:lvl>
    <w:lvl w:ilvl="3">
      <w:start w:val="1"/>
      <w:numFmt w:val="decimal"/>
      <w:lvlText w:val="%4."/>
      <w:legacy w:legacy="1" w:legacySpace="0" w:legacyIndent="360"/>
      <w:lvlJc w:val="left"/>
      <w:pPr>
        <w:ind w:left="3060" w:hanging="360"/>
      </w:pPr>
      <w:rPr>
        <w:rFonts w:cs="Times New Roman" w:hint="default"/>
      </w:rPr>
    </w:lvl>
    <w:lvl w:ilvl="4">
      <w:start w:val="1"/>
      <w:numFmt w:val="lowerLetter"/>
      <w:lvlText w:val="%5."/>
      <w:legacy w:legacy="1" w:legacySpace="0" w:legacyIndent="360"/>
      <w:lvlJc w:val="left"/>
      <w:pPr>
        <w:ind w:left="3780" w:hanging="360"/>
      </w:pPr>
      <w:rPr>
        <w:rFonts w:cs="Times New Roman" w:hint="default"/>
      </w:rPr>
    </w:lvl>
    <w:lvl w:ilvl="5">
      <w:start w:val="1"/>
      <w:numFmt w:val="lowerRoman"/>
      <w:lvlText w:val="%6."/>
      <w:legacy w:legacy="1" w:legacySpace="0" w:legacyIndent="180"/>
      <w:lvlJc w:val="right"/>
      <w:pPr>
        <w:ind w:left="4500" w:hanging="180"/>
      </w:pPr>
      <w:rPr>
        <w:rFonts w:cs="Times New Roman" w:hint="default"/>
      </w:rPr>
    </w:lvl>
    <w:lvl w:ilvl="6">
      <w:start w:val="1"/>
      <w:numFmt w:val="decimal"/>
      <w:lvlText w:val="%7."/>
      <w:legacy w:legacy="1" w:legacySpace="0" w:legacyIndent="360"/>
      <w:lvlJc w:val="left"/>
      <w:pPr>
        <w:ind w:left="5220" w:hanging="360"/>
      </w:pPr>
      <w:rPr>
        <w:rFonts w:cs="Times New Roman" w:hint="default"/>
      </w:rPr>
    </w:lvl>
    <w:lvl w:ilvl="7">
      <w:start w:val="1"/>
      <w:numFmt w:val="lowerLetter"/>
      <w:lvlText w:val="%8."/>
      <w:legacy w:legacy="1" w:legacySpace="0" w:legacyIndent="360"/>
      <w:lvlJc w:val="left"/>
      <w:pPr>
        <w:ind w:left="5940" w:hanging="360"/>
      </w:pPr>
      <w:rPr>
        <w:rFonts w:cs="Times New Roman" w:hint="default"/>
      </w:rPr>
    </w:lvl>
    <w:lvl w:ilvl="8">
      <w:start w:val="1"/>
      <w:numFmt w:val="lowerRoman"/>
      <w:lvlText w:val="%9."/>
      <w:legacy w:legacy="1" w:legacySpace="0" w:legacyIndent="180"/>
      <w:lvlJc w:val="right"/>
      <w:pPr>
        <w:ind w:left="6660" w:hanging="18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AF5"/>
    <w:rsid w:val="A038B4FE"/>
    <w:rsid w:val="000D4574"/>
    <w:rsid w:val="001E30C6"/>
    <w:rsid w:val="001F2387"/>
    <w:rsid w:val="00325B3E"/>
    <w:rsid w:val="0033083B"/>
    <w:rsid w:val="004D3AD2"/>
    <w:rsid w:val="00501074"/>
    <w:rsid w:val="00521344"/>
    <w:rsid w:val="00563FBB"/>
    <w:rsid w:val="005B120B"/>
    <w:rsid w:val="005E7FA4"/>
    <w:rsid w:val="00611B40"/>
    <w:rsid w:val="006D18FD"/>
    <w:rsid w:val="007A256D"/>
    <w:rsid w:val="007F66A2"/>
    <w:rsid w:val="00813B39"/>
    <w:rsid w:val="008C67AD"/>
    <w:rsid w:val="00902508"/>
    <w:rsid w:val="009A3E66"/>
    <w:rsid w:val="009F0A35"/>
    <w:rsid w:val="00A62FF7"/>
    <w:rsid w:val="00A6695E"/>
    <w:rsid w:val="00B356F6"/>
    <w:rsid w:val="00B404C3"/>
    <w:rsid w:val="00B57A82"/>
    <w:rsid w:val="00C4471A"/>
    <w:rsid w:val="00C61697"/>
    <w:rsid w:val="00CC4EBE"/>
    <w:rsid w:val="00D24C8E"/>
    <w:rsid w:val="00E568D5"/>
    <w:rsid w:val="00E870B3"/>
    <w:rsid w:val="00EB2400"/>
    <w:rsid w:val="00EE0F8B"/>
    <w:rsid w:val="00EE5117"/>
    <w:rsid w:val="00F44AF5"/>
    <w:rsid w:val="00F47BA9"/>
    <w:rsid w:val="00FB20DE"/>
    <w:rsid w:val="00FD4928"/>
    <w:rsid w:val="0E525EA2"/>
    <w:rsid w:val="0F405D45"/>
    <w:rsid w:val="213067FD"/>
    <w:rsid w:val="3FDBDC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33E9E5"/>
  <w15:docId w15:val="{6A5FA1B5-FCCD-48C7-89A5-33A6EBC5D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nhideWhenUsed="1"/>
    <w:lsdException w:name="footnote text" w:uiPriority="0" w:qFormat="1"/>
    <w:lsdException w:name="annotation text" w:qFormat="1"/>
    <w:lsdException w:name="header" w:qFormat="1"/>
    <w:lsdException w:name="footer"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after="200" w:line="276" w:lineRule="auto"/>
      <w:jc w:val="both"/>
    </w:pPr>
    <w:rPr>
      <w:rFonts w:ascii="Calibri" w:hAnsi="Calibri" w:cs="Calibri"/>
      <w:sz w:val="21"/>
      <w:szCs w:val="24"/>
      <w:lang w:eastAsia="en-US"/>
    </w:rPr>
  </w:style>
  <w:style w:type="paragraph" w:styleId="1">
    <w:name w:val="heading 1"/>
    <w:basedOn w:val="a"/>
    <w:next w:val="a"/>
    <w:qFormat/>
    <w:pPr>
      <w:keepNext/>
      <w:keepLines/>
      <w:spacing w:before="120" w:after="120" w:line="360" w:lineRule="auto"/>
      <w:outlineLvl w:val="0"/>
    </w:pPr>
    <w:rPr>
      <w:rFonts w:ascii="宋体"/>
      <w:b/>
      <w:color w:val="000000"/>
      <w:sz w:val="24"/>
      <w:szCs w:val="20"/>
    </w:rPr>
  </w:style>
  <w:style w:type="paragraph" w:styleId="2">
    <w:name w:val="heading 2"/>
    <w:basedOn w:val="a"/>
    <w:next w:val="a"/>
    <w:qFormat/>
    <w:pPr>
      <w:keepNext/>
      <w:keepLines/>
      <w:spacing w:before="120" w:after="120" w:line="360" w:lineRule="auto"/>
      <w:outlineLvl w:val="1"/>
    </w:pPr>
    <w:rPr>
      <w:rFonts w:ascii="宋体"/>
      <w:b/>
      <w:sz w:val="20"/>
      <w:szCs w:val="20"/>
    </w:rPr>
  </w:style>
  <w:style w:type="paragraph" w:styleId="3">
    <w:name w:val="heading 3"/>
    <w:basedOn w:val="a"/>
    <w:next w:val="a"/>
    <w:qFormat/>
    <w:pPr>
      <w:keepNext/>
      <w:keepLines/>
      <w:spacing w:before="320"/>
      <w:outlineLvl w:val="2"/>
    </w:pPr>
    <w:rPr>
      <w:rFonts w:ascii="Arial" w:hAnsi="Arial" w:cs="Arial"/>
      <w:sz w:val="30"/>
      <w:szCs w:val="30"/>
    </w:rPr>
  </w:style>
  <w:style w:type="paragraph" w:styleId="4">
    <w:name w:val="heading 4"/>
    <w:basedOn w:val="a"/>
    <w:next w:val="a"/>
    <w:qFormat/>
    <w:pPr>
      <w:keepNext/>
      <w:keepLines/>
      <w:spacing w:before="320"/>
      <w:outlineLvl w:val="3"/>
    </w:pPr>
    <w:rPr>
      <w:rFonts w:ascii="Arial" w:hAnsi="Arial" w:cs="Arial"/>
      <w:b/>
      <w:bCs/>
      <w:sz w:val="26"/>
      <w:szCs w:val="26"/>
    </w:rPr>
  </w:style>
  <w:style w:type="paragraph" w:styleId="5">
    <w:name w:val="heading 5"/>
    <w:basedOn w:val="a"/>
    <w:next w:val="a"/>
    <w:qFormat/>
    <w:pPr>
      <w:keepNext/>
      <w:keepLines/>
      <w:spacing w:before="320"/>
      <w:outlineLvl w:val="4"/>
    </w:pPr>
    <w:rPr>
      <w:rFonts w:ascii="Arial" w:hAnsi="Arial" w:cs="Arial"/>
      <w:b/>
      <w:bCs/>
      <w:sz w:val="24"/>
    </w:rPr>
  </w:style>
  <w:style w:type="paragraph" w:styleId="6">
    <w:name w:val="heading 6"/>
    <w:basedOn w:val="a"/>
    <w:next w:val="a"/>
    <w:qFormat/>
    <w:pPr>
      <w:keepNext/>
      <w:keepLines/>
      <w:spacing w:before="320"/>
      <w:outlineLvl w:val="5"/>
    </w:pPr>
    <w:rPr>
      <w:rFonts w:ascii="Arial" w:hAnsi="Arial" w:cs="Arial"/>
      <w:b/>
      <w:bCs/>
      <w:sz w:val="22"/>
      <w:szCs w:val="22"/>
    </w:rPr>
  </w:style>
  <w:style w:type="paragraph" w:styleId="7">
    <w:name w:val="heading 7"/>
    <w:basedOn w:val="a"/>
    <w:next w:val="a"/>
    <w:qFormat/>
    <w:pPr>
      <w:keepNext/>
      <w:keepLines/>
      <w:spacing w:before="320"/>
      <w:outlineLvl w:val="6"/>
    </w:pPr>
    <w:rPr>
      <w:rFonts w:ascii="Arial" w:hAnsi="Arial" w:cs="Arial"/>
      <w:b/>
      <w:bCs/>
      <w:i/>
      <w:iCs/>
      <w:sz w:val="22"/>
      <w:szCs w:val="22"/>
    </w:rPr>
  </w:style>
  <w:style w:type="paragraph" w:styleId="8">
    <w:name w:val="heading 8"/>
    <w:basedOn w:val="a"/>
    <w:next w:val="a"/>
    <w:qFormat/>
    <w:pPr>
      <w:keepNext/>
      <w:keepLines/>
      <w:spacing w:before="320"/>
      <w:outlineLvl w:val="7"/>
    </w:pPr>
    <w:rPr>
      <w:rFonts w:ascii="Arial" w:hAnsi="Arial" w:cs="Arial"/>
      <w:i/>
      <w:iCs/>
      <w:sz w:val="22"/>
      <w:szCs w:val="22"/>
    </w:rPr>
  </w:style>
  <w:style w:type="paragraph" w:styleId="9">
    <w:name w:val="heading 9"/>
    <w:basedOn w:val="a"/>
    <w:next w:val="a"/>
    <w:qFormat/>
    <w:pPr>
      <w:keepNext/>
      <w:keepLines/>
      <w:spacing w:before="320"/>
      <w:outlineLvl w:val="8"/>
    </w:pPr>
    <w:rPr>
      <w:rFonts w:ascii="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qFormat/>
    <w:pPr>
      <w:ind w:left="2520"/>
    </w:pPr>
  </w:style>
  <w:style w:type="paragraph" w:styleId="a3">
    <w:name w:val="caption"/>
    <w:basedOn w:val="a"/>
    <w:next w:val="a"/>
    <w:qFormat/>
    <w:rPr>
      <w:b/>
      <w:bCs/>
      <w:color w:val="4F81BD"/>
      <w:sz w:val="18"/>
      <w:szCs w:val="18"/>
    </w:rPr>
  </w:style>
  <w:style w:type="paragraph" w:styleId="a4">
    <w:name w:val="Document Map"/>
    <w:basedOn w:val="a"/>
    <w:qFormat/>
    <w:pPr>
      <w:shd w:val="clear" w:color="000080" w:fill="000080"/>
    </w:pPr>
  </w:style>
  <w:style w:type="paragraph" w:styleId="a5">
    <w:name w:val="annotation text"/>
    <w:basedOn w:val="a"/>
    <w:link w:val="a6"/>
    <w:uiPriority w:val="99"/>
    <w:qFormat/>
    <w:pPr>
      <w:jc w:val="left"/>
    </w:pPr>
  </w:style>
  <w:style w:type="paragraph" w:styleId="a7">
    <w:name w:val="Body Text"/>
    <w:basedOn w:val="a"/>
    <w:qFormat/>
    <w:pPr>
      <w:tabs>
        <w:tab w:val="left" w:pos="3780"/>
      </w:tabs>
      <w:spacing w:before="50" w:after="50" w:line="360" w:lineRule="auto"/>
      <w:outlineLvl w:val="0"/>
    </w:pPr>
    <w:rPr>
      <w:rFonts w:ascii="宋体"/>
      <w:b/>
      <w:bCs/>
      <w:color w:val="FF0000"/>
      <w:sz w:val="24"/>
    </w:rPr>
  </w:style>
  <w:style w:type="paragraph" w:styleId="a8">
    <w:name w:val="Body Text Indent"/>
    <w:basedOn w:val="a"/>
    <w:qFormat/>
    <w:pPr>
      <w:spacing w:line="360" w:lineRule="auto"/>
      <w:ind w:firstLine="420"/>
    </w:pPr>
    <w:rPr>
      <w:sz w:val="20"/>
      <w:szCs w:val="20"/>
    </w:rPr>
  </w:style>
  <w:style w:type="paragraph" w:styleId="50">
    <w:name w:val="toc 5"/>
    <w:basedOn w:val="a"/>
    <w:next w:val="a"/>
    <w:qFormat/>
    <w:pPr>
      <w:ind w:left="1680"/>
    </w:pPr>
  </w:style>
  <w:style w:type="paragraph" w:styleId="30">
    <w:name w:val="toc 3"/>
    <w:basedOn w:val="a"/>
    <w:next w:val="a"/>
    <w:qFormat/>
    <w:pPr>
      <w:ind w:left="840"/>
    </w:pPr>
  </w:style>
  <w:style w:type="paragraph" w:styleId="80">
    <w:name w:val="toc 8"/>
    <w:basedOn w:val="a"/>
    <w:next w:val="a"/>
    <w:qFormat/>
    <w:pPr>
      <w:ind w:left="2940"/>
    </w:pPr>
  </w:style>
  <w:style w:type="paragraph" w:styleId="20">
    <w:name w:val="Body Text Indent 2"/>
    <w:basedOn w:val="a"/>
    <w:qFormat/>
    <w:pPr>
      <w:tabs>
        <w:tab w:val="left" w:pos="1260"/>
      </w:tabs>
      <w:spacing w:line="360" w:lineRule="auto"/>
      <w:ind w:firstLine="480"/>
    </w:pPr>
    <w:rPr>
      <w:rFonts w:ascii="宋体"/>
      <w:sz w:val="24"/>
    </w:rPr>
  </w:style>
  <w:style w:type="paragraph" w:styleId="a9">
    <w:name w:val="endnote text"/>
    <w:basedOn w:val="a"/>
    <w:qFormat/>
    <w:pPr>
      <w:spacing w:after="0" w:line="240" w:lineRule="auto"/>
    </w:pPr>
    <w:rPr>
      <w:sz w:val="20"/>
    </w:rPr>
  </w:style>
  <w:style w:type="paragraph" w:styleId="aa">
    <w:name w:val="Balloon Text"/>
    <w:basedOn w:val="a"/>
    <w:qFormat/>
    <w:rPr>
      <w:sz w:val="18"/>
      <w:szCs w:val="18"/>
    </w:rPr>
  </w:style>
  <w:style w:type="paragraph" w:styleId="ab">
    <w:name w:val="footer"/>
    <w:basedOn w:val="a"/>
    <w:link w:val="ac"/>
    <w:uiPriority w:val="99"/>
    <w:qFormat/>
    <w:pPr>
      <w:tabs>
        <w:tab w:val="center" w:pos="4153"/>
        <w:tab w:val="right" w:pos="8306"/>
      </w:tabs>
      <w:jc w:val="left"/>
    </w:pPr>
    <w:rPr>
      <w:sz w:val="18"/>
      <w:szCs w:val="18"/>
    </w:rPr>
  </w:style>
  <w:style w:type="paragraph" w:styleId="ad">
    <w:name w:val="header"/>
    <w:basedOn w:val="a"/>
    <w:link w:val="ae"/>
    <w:uiPriority w:val="99"/>
    <w:qFormat/>
    <w:pPr>
      <w:pBdr>
        <w:bottom w:val="single" w:sz="6" w:space="1" w:color="auto"/>
      </w:pBdr>
      <w:tabs>
        <w:tab w:val="center" w:pos="4153"/>
        <w:tab w:val="right" w:pos="8306"/>
      </w:tabs>
      <w:jc w:val="center"/>
    </w:pPr>
    <w:rPr>
      <w:sz w:val="18"/>
      <w:szCs w:val="18"/>
    </w:rPr>
  </w:style>
  <w:style w:type="paragraph" w:styleId="10">
    <w:name w:val="toc 1"/>
    <w:basedOn w:val="a"/>
    <w:next w:val="a"/>
    <w:qFormat/>
    <w:pPr>
      <w:tabs>
        <w:tab w:val="right" w:leader="dot" w:pos="8455"/>
      </w:tabs>
      <w:spacing w:before="120" w:line="360" w:lineRule="auto"/>
      <w:ind w:firstLine="425"/>
      <w:jc w:val="left"/>
    </w:pPr>
    <w:rPr>
      <w:b/>
      <w:caps/>
      <w:sz w:val="20"/>
      <w:szCs w:val="20"/>
    </w:rPr>
  </w:style>
  <w:style w:type="paragraph" w:styleId="40">
    <w:name w:val="toc 4"/>
    <w:basedOn w:val="a"/>
    <w:next w:val="a"/>
    <w:qFormat/>
    <w:pPr>
      <w:ind w:left="1260"/>
    </w:pPr>
  </w:style>
  <w:style w:type="paragraph" w:styleId="af">
    <w:name w:val="Subtitle"/>
    <w:basedOn w:val="a"/>
    <w:next w:val="a"/>
    <w:qFormat/>
    <w:pPr>
      <w:spacing w:before="200"/>
    </w:pPr>
    <w:rPr>
      <w:sz w:val="24"/>
    </w:rPr>
  </w:style>
  <w:style w:type="paragraph" w:styleId="af0">
    <w:name w:val="footnote text"/>
    <w:basedOn w:val="a"/>
    <w:qFormat/>
    <w:pPr>
      <w:spacing w:after="40" w:line="240" w:lineRule="auto"/>
    </w:pPr>
    <w:rPr>
      <w:sz w:val="18"/>
    </w:rPr>
  </w:style>
  <w:style w:type="paragraph" w:styleId="60">
    <w:name w:val="toc 6"/>
    <w:basedOn w:val="a"/>
    <w:next w:val="a"/>
    <w:qFormat/>
    <w:pPr>
      <w:ind w:left="2100"/>
    </w:pPr>
  </w:style>
  <w:style w:type="paragraph" w:styleId="af1">
    <w:name w:val="table of figures"/>
    <w:basedOn w:val="a"/>
    <w:next w:val="a"/>
    <w:qFormat/>
    <w:pPr>
      <w:spacing w:after="0"/>
    </w:pPr>
  </w:style>
  <w:style w:type="paragraph" w:styleId="21">
    <w:name w:val="toc 2"/>
    <w:basedOn w:val="a"/>
    <w:next w:val="a"/>
    <w:qFormat/>
    <w:pPr>
      <w:ind w:left="420"/>
    </w:pPr>
  </w:style>
  <w:style w:type="paragraph" w:styleId="90">
    <w:name w:val="toc 9"/>
    <w:basedOn w:val="a"/>
    <w:next w:val="a"/>
    <w:qFormat/>
    <w:pPr>
      <w:ind w:left="3360"/>
    </w:pPr>
  </w:style>
  <w:style w:type="paragraph" w:styleId="22">
    <w:name w:val="Body Text 2"/>
    <w:basedOn w:val="a"/>
    <w:qFormat/>
    <w:pPr>
      <w:tabs>
        <w:tab w:val="left" w:pos="3780"/>
      </w:tabs>
      <w:spacing w:before="50" w:after="50" w:line="300" w:lineRule="auto"/>
      <w:outlineLvl w:val="0"/>
    </w:pPr>
    <w:rPr>
      <w:rFonts w:ascii="宋体"/>
      <w:b/>
      <w:bCs/>
      <w:sz w:val="24"/>
    </w:rPr>
  </w:style>
  <w:style w:type="paragraph" w:styleId="af2">
    <w:name w:val="Title"/>
    <w:basedOn w:val="a"/>
    <w:next w:val="a"/>
    <w:qFormat/>
    <w:pPr>
      <w:spacing w:before="300"/>
      <w:contextualSpacing/>
    </w:pPr>
    <w:rPr>
      <w:sz w:val="48"/>
      <w:szCs w:val="48"/>
    </w:rPr>
  </w:style>
  <w:style w:type="paragraph" w:styleId="af3">
    <w:name w:val="annotation subject"/>
    <w:basedOn w:val="a5"/>
    <w:next w:val="a5"/>
    <w:qFormat/>
    <w:rPr>
      <w:b/>
      <w:bCs/>
    </w:rPr>
  </w:style>
  <w:style w:type="table" w:styleId="af4">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endnote reference"/>
    <w:basedOn w:val="a0"/>
    <w:qFormat/>
    <w:rPr>
      <w:vertAlign w:val="superscript"/>
    </w:rPr>
  </w:style>
  <w:style w:type="character" w:styleId="af6">
    <w:name w:val="page number"/>
    <w:basedOn w:val="a0"/>
    <w:qFormat/>
    <w:rPr>
      <w:rFonts w:cs="Times New Roman"/>
    </w:rPr>
  </w:style>
  <w:style w:type="character" w:styleId="af7">
    <w:name w:val="Hyperlink"/>
    <w:basedOn w:val="a0"/>
    <w:qFormat/>
    <w:rPr>
      <w:rFonts w:cs="Times New Roman"/>
      <w:color w:val="0000FF"/>
      <w:u w:val="single"/>
    </w:rPr>
  </w:style>
  <w:style w:type="character" w:styleId="af8">
    <w:name w:val="annotation reference"/>
    <w:basedOn w:val="a0"/>
    <w:qFormat/>
    <w:rPr>
      <w:rFonts w:cs="Times New Roman"/>
      <w:sz w:val="21"/>
    </w:rPr>
  </w:style>
  <w:style w:type="character" w:styleId="af9">
    <w:name w:val="footnote reference"/>
    <w:basedOn w:val="a0"/>
    <w:qFormat/>
    <w:rPr>
      <w:vertAlign w:val="superscript"/>
    </w:r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2F2F2"/>
      </w:tcPr>
    </w:tblStylePr>
    <w:tblStylePr w:type="band1Horz">
      <w:tblPr/>
      <w:tcPr>
        <w:shd w:val="clear" w:color="FFFFFF" w:fill="F2F2F2"/>
      </w:tcPr>
    </w:tblStylePr>
  </w:style>
  <w:style w:type="table" w:customStyle="1" w:styleId="210">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2F2F2"/>
      </w:tcPr>
    </w:tblStylePr>
    <w:tblStylePr w:type="band1Horz">
      <w:rPr>
        <w:rFonts w:ascii="Arial" w:hAnsi="Arial"/>
        <w:color w:val="404040"/>
        <w:sz w:val="22"/>
      </w:rPr>
      <w:tblPr/>
      <w:tcPr>
        <w:shd w:val="clear" w:color="FFFFFF" w:fill="F2F2F2"/>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F2F2"/>
      </w:tcPr>
    </w:tblStylePr>
    <w:tblStylePr w:type="band1Horz">
      <w:rPr>
        <w:rFonts w:ascii="Arial" w:hAnsi="Arial"/>
        <w:color w:val="404040"/>
        <w:sz w:val="22"/>
      </w:rPr>
      <w:tblPr/>
      <w:tcPr>
        <w:shd w:val="clear" w:color="FFFFFF" w:fill="F2F2F2"/>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FFFFFF"/>
      </w:tcPr>
    </w:tblStylePr>
    <w:tblStylePr w:type="lastRow">
      <w:rPr>
        <w:i/>
        <w:color w:val="404040"/>
      </w:rPr>
      <w:tblPr/>
      <w:tcPr>
        <w:tcBorders>
          <w:top w:val="single" w:sz="4" w:space="0" w:color="404040"/>
          <w:left w:val="nil"/>
          <w:right w:val="nil"/>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FFFFF" w:fill="F2F2F2"/>
      </w:tcPr>
    </w:tblStylePr>
    <w:tblStylePr w:type="band1Horz">
      <w:rPr>
        <w:rFonts w:ascii="Arial" w:hAnsi="Arial"/>
        <w:color w:val="404040"/>
        <w:sz w:val="22"/>
      </w:rPr>
      <w:tblPr/>
      <w:tcPr>
        <w:shd w:val="clear" w:color="FFFFFF" w:fill="F2F2F2"/>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FFFFFF"/>
      </w:tcPr>
    </w:tblStylePr>
    <w:tblStylePr w:type="lastRow">
      <w:rPr>
        <w:b/>
        <w:color w:val="404040"/>
      </w:rPr>
      <w:tblPr/>
      <w:tcPr>
        <w:tcBorders>
          <w:top w:val="single" w:sz="4" w:space="0" w:color="6A6A6A" w:themeColor="text1" w:themeTint="95"/>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cPr>
    </w:tblStylePr>
    <w:tblStylePr w:type="band1Horz">
      <w:rPr>
        <w:rFonts w:ascii="Arial" w:hAnsi="Arial"/>
        <w:color w:val="404040"/>
        <w:sz w:val="22"/>
      </w:rPr>
      <w:tblPr/>
      <w:tcPr>
        <w:shd w:val="clear" w:color="FFFFFF" w:fill="CBCBCB"/>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FFFFFF"/>
      </w:tcPr>
    </w:tblStylePr>
    <w:tblStylePr w:type="lastRow">
      <w:rPr>
        <w:b/>
        <w:color w:val="404040"/>
      </w:rPr>
      <w:tblPr/>
      <w:tcPr>
        <w:tcBorders>
          <w:top w:val="nil"/>
          <w:left w:val="nil"/>
          <w:bottom w:val="nil"/>
          <w:right w:val="nil"/>
        </w:tcBorders>
        <w:shd w:val="clear" w:color="FFFFFF" w:fill="FFFFFF"/>
      </w:tcPr>
    </w:tblStylePr>
    <w:tblStylePr w:type="firstCol">
      <w:pPr>
        <w:jc w:val="right"/>
      </w:pPr>
      <w:rPr>
        <w:i/>
        <w:color w:val="404040"/>
      </w:rPr>
      <w:tblPr/>
      <w:tcPr>
        <w:tcBorders>
          <w:top w:val="nil"/>
          <w:left w:val="nil"/>
          <w:bottom w:val="nil"/>
          <w:right w:val="nil"/>
        </w:tcBorders>
        <w:shd w:val="clear" w:color="FFFFFF" w:fill="FFFFFF"/>
      </w:tcPr>
    </w:tblStylePr>
    <w:tblStylePr w:type="lastCol">
      <w:rPr>
        <w:i/>
        <w:color w:val="404040"/>
      </w:rPr>
      <w:tblPr/>
      <w:tcPr>
        <w:tcBorders>
          <w:top w:val="nil"/>
          <w:left w:val="nil"/>
          <w:bottom w:val="nil"/>
          <w:right w:val="nil"/>
        </w:tcBorders>
        <w:shd w:val="clear" w:color="FFFFFF" w:fill="FFFFFF"/>
      </w:tcPr>
    </w:tblStylePr>
    <w:tblStylePr w:type="band1Vert">
      <w:rPr>
        <w:rFonts w:ascii="Arial" w:hAnsi="Arial"/>
        <w:color w:val="404040"/>
        <w:sz w:val="22"/>
      </w:rPr>
      <w:tblPr/>
      <w:tcPr>
        <w:shd w:val="clear" w:color="FFFFFF" w:fill="CBCBCB"/>
      </w:tcPr>
    </w:tblStylePr>
    <w:tblStylePr w:type="band1Horz">
      <w:rPr>
        <w:rFonts w:ascii="Arial" w:hAnsi="Arial"/>
        <w:color w:val="404040"/>
        <w:sz w:val="22"/>
      </w:rPr>
      <w:tblPr/>
      <w:tcPr>
        <w:shd w:val="clear" w:color="FFFFFF" w:fill="CBCBCB"/>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cPr>
    </w:tblStylePr>
    <w:tblStylePr w:type="band1Horz">
      <w:rPr>
        <w:rFonts w:ascii="Arial" w:hAnsi="Arial"/>
        <w:color w:val="404040"/>
        <w:sz w:val="22"/>
      </w:rPr>
      <w:tblPr/>
      <w:tcPr>
        <w:shd w:val="clear" w:color="FFFFFF" w:fill="CBCBCB"/>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FFFF" w:fill="000000"/>
      </w:tcPr>
    </w:tblStylePr>
    <w:tblStylePr w:type="lastRow">
      <w:rPr>
        <w:rFonts w:ascii="Arial" w:hAnsi="Arial"/>
        <w:b/>
        <w:color w:val="FFFFFF"/>
        <w:sz w:val="22"/>
      </w:rPr>
      <w:tblPr/>
      <w:tcPr>
        <w:tcBorders>
          <w:top w:val="single" w:sz="4" w:space="0" w:color="FFFFFF" w:themeColor="light1"/>
        </w:tcBorders>
        <w:shd w:val="clear" w:color="FFFFFF" w:fill="000000"/>
      </w:tcPr>
    </w:tblStylePr>
    <w:tblStylePr w:type="firstCol">
      <w:rPr>
        <w:rFonts w:ascii="Arial" w:hAnsi="Arial"/>
        <w:b/>
        <w:color w:val="FFFFFF"/>
        <w:sz w:val="22"/>
      </w:rPr>
      <w:tblPr/>
      <w:tcPr>
        <w:shd w:val="clear" w:color="FFFFFF" w:fill="000000"/>
      </w:tcPr>
    </w:tblStylePr>
    <w:tblStylePr w:type="lastCol">
      <w:rPr>
        <w:rFonts w:ascii="Arial" w:hAnsi="Arial"/>
        <w:b/>
        <w:color w:val="FFFFFF"/>
        <w:sz w:val="22"/>
      </w:rPr>
      <w:tblPr/>
      <w:tcPr>
        <w:shd w:val="clear" w:color="FFFFFF" w:fill="000000"/>
      </w:tcPr>
    </w:tblStylePr>
    <w:tblStylePr w:type="band1Vert">
      <w:tblPr/>
      <w:tcPr>
        <w:shd w:val="clear" w:color="FFFFFF" w:fill="8A8A8A"/>
      </w:tcPr>
    </w:tblStylePr>
    <w:tblStylePr w:type="band1Horz">
      <w:tblPr/>
      <w:tcPr>
        <w:shd w:val="clear" w:color="FFFFFF" w:fill="8A8A8A"/>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FFFFFF" w:fill="CBCBCB"/>
      </w:tcPr>
    </w:tblStylePr>
    <w:tblStylePr w:type="band1Horz">
      <w:rPr>
        <w:rFonts w:ascii="Arial" w:hAnsi="Arial"/>
        <w:color w:val="7F7F7F" w:themeColor="text1" w:themeTint="80"/>
        <w:sz w:val="22"/>
      </w:rPr>
      <w:tblPr/>
      <w:tcPr>
        <w:shd w:val="clear" w:color="FFFFFF" w:fill="CBCBCB"/>
      </w:tcPr>
    </w:tblStylePr>
    <w:tblStylePr w:type="band2Horz">
      <w:rPr>
        <w:rFonts w:ascii="Arial" w:hAnsi="Arial"/>
        <w:color w:val="7F7F7F" w:themeColor="text1" w:themeTint="80"/>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fill="FFFFFF"/>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fill="FFFFFF"/>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FFFFFF"/>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FFFFFF"/>
      </w:tcPr>
    </w:tblStylePr>
    <w:tblStylePr w:type="band1Vert">
      <w:tblPr/>
      <w:tcPr>
        <w:shd w:val="clear" w:color="FFFFFF" w:fill="F2F2F2"/>
      </w:tcPr>
    </w:tblStylePr>
    <w:tblStylePr w:type="band1Horz">
      <w:rPr>
        <w:rFonts w:ascii="Arial" w:hAnsi="Arial"/>
        <w:color w:val="7F7F7F" w:themeColor="text1" w:themeTint="80"/>
        <w:sz w:val="22"/>
      </w:rPr>
      <w:tblPr/>
      <w:tcPr>
        <w:shd w:val="clear" w:color="FFFFFF" w:fill="F2F2F2"/>
      </w:tcPr>
    </w:tblStylePr>
    <w:tblStylePr w:type="band2Horz">
      <w:rPr>
        <w:rFonts w:ascii="Arial" w:hAnsi="Arial"/>
        <w:color w:val="7F7F7F" w:themeColor="text1" w:themeTint="80"/>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FFFFFF" w:fill="BFBFBF"/>
      </w:tcPr>
    </w:tblStylePr>
    <w:tblStylePr w:type="band1Horz">
      <w:tblPr/>
      <w:tcPr>
        <w:shd w:val="clear" w:color="FFFFFF" w:fill="BFBFBF"/>
      </w:tcPr>
    </w:tblStylePr>
  </w:style>
  <w:style w:type="table" w:customStyle="1" w:styleId="212">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BFBFBF"/>
      </w:tcPr>
    </w:tblStylePr>
    <w:tblStylePr w:type="band1Horz">
      <w:rPr>
        <w:rFonts w:ascii="Arial" w:hAnsi="Arial"/>
        <w:color w:val="404040"/>
        <w:sz w:val="22"/>
      </w:rPr>
      <w:tblPr/>
      <w:tcPr>
        <w:shd w:val="clear" w:color="FFFFFF" w:fill="BFBFBF"/>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FFFFFF"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FFFFFF"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BFBFBF"/>
      </w:tcPr>
    </w:tblStylePr>
    <w:tblStylePr w:type="band1Horz">
      <w:rPr>
        <w:rFonts w:ascii="Arial" w:hAnsi="Arial"/>
        <w:color w:val="404040"/>
        <w:sz w:val="22"/>
      </w:rPr>
      <w:tblPr/>
      <w:tcPr>
        <w:shd w:val="clear" w:color="FFFFFF" w:fill="BFBFBF"/>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FFFFFF"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FFFFFF"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cPr>
    </w:tblStylePr>
    <w:tblStylePr w:type="band2Horz">
      <w:tblPr/>
      <w:tcPr>
        <w:tcBorders>
          <w:top w:val="single" w:sz="4" w:space="0" w:color="FFFFFF" w:themeColor="light1"/>
          <w:bottom w:val="single" w:sz="4" w:space="0" w:color="FFFFFF" w:themeColor="light1"/>
        </w:tcBorders>
        <w:shd w:val="clear" w:color="FFFFFF" w:fill="7F7F7F"/>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cPr>
    </w:tblStylePr>
    <w:tblStylePr w:type="band1Horz">
      <w:rPr>
        <w:rFonts w:ascii="Arial" w:hAnsi="Arial"/>
        <w:color w:val="000000" w:themeColor="text1"/>
        <w:sz w:val="22"/>
      </w:rPr>
      <w:tblPr/>
      <w:tcPr>
        <w:shd w:val="clear" w:color="FFFFFF" w:fill="BFBFBF"/>
      </w:tcPr>
    </w:tblStylePr>
    <w:tblStylePr w:type="band2Horz">
      <w:rPr>
        <w:rFonts w:ascii="Arial" w:hAnsi="Arial"/>
        <w:color w:val="000000" w:themeColor="text1"/>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fill="FFFFFF"/>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fill="FFFFFF"/>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FFFFFF"/>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FFFFFF"/>
      </w:tcPr>
    </w:tblStylePr>
    <w:tblStylePr w:type="band1Vert">
      <w:tblPr/>
      <w:tcPr>
        <w:shd w:val="clear" w:color="FFFFFF" w:fill="BFBFBF"/>
      </w:tcPr>
    </w:tblStylePr>
    <w:tblStylePr w:type="band1Horz">
      <w:rPr>
        <w:rFonts w:ascii="Arial" w:hAnsi="Arial"/>
        <w:color w:val="7F7F7F" w:themeColor="text1" w:themeTint="80"/>
        <w:sz w:val="22"/>
      </w:rPr>
      <w:tblPr/>
      <w:tcPr>
        <w:shd w:val="clear" w:color="FFFFFF" w:fill="BFBFBF"/>
      </w:tcPr>
    </w:tblStylePr>
    <w:tblStylePr w:type="band2Horz">
      <w:rPr>
        <w:rFonts w:ascii="Arial" w:hAnsi="Arial"/>
        <w:color w:val="7F7F7F" w:themeColor="text1" w:themeTint="80"/>
        <w:sz w:val="22"/>
      </w:rPr>
    </w:tblStylePr>
  </w:style>
  <w:style w:type="paragraph" w:customStyle="1" w:styleId="TOC1">
    <w:name w:val="TOC 标题1"/>
    <w:uiPriority w:val="39"/>
    <w:unhideWhenUsed/>
  </w:style>
  <w:style w:type="paragraph" w:customStyle="1" w:styleId="TOC113">
    <w:name w:val="TOC 标题113"/>
    <w:uiPriority w:val="39"/>
    <w:unhideWhenUsed/>
    <w:qFormat/>
  </w:style>
  <w:style w:type="paragraph" w:customStyle="1" w:styleId="TOC112">
    <w:name w:val="TOC 标题112"/>
    <w:uiPriority w:val="39"/>
    <w:unhideWhenUsed/>
    <w:qFormat/>
  </w:style>
  <w:style w:type="character" w:customStyle="1" w:styleId="Heading3Char">
    <w:name w:val="Heading 3 Char"/>
    <w:basedOn w:val="a0"/>
    <w:uiPriority w:val="9"/>
    <w:qFormat/>
    <w:rPr>
      <w:rFonts w:ascii="Arial" w:hAnsi="Arial" w:cs="Arial"/>
      <w:sz w:val="30"/>
      <w:szCs w:val="30"/>
    </w:rPr>
  </w:style>
  <w:style w:type="character" w:customStyle="1" w:styleId="Heading4Char">
    <w:name w:val="Heading 4 Char"/>
    <w:basedOn w:val="a0"/>
    <w:uiPriority w:val="9"/>
    <w:qFormat/>
    <w:rPr>
      <w:rFonts w:ascii="Arial" w:hAnsi="Arial" w:cs="Arial"/>
      <w:b/>
      <w:bCs/>
      <w:sz w:val="26"/>
      <w:szCs w:val="26"/>
    </w:rPr>
  </w:style>
  <w:style w:type="character" w:customStyle="1" w:styleId="Heading5Char">
    <w:name w:val="Heading 5 Char"/>
    <w:basedOn w:val="a0"/>
    <w:uiPriority w:val="9"/>
    <w:qFormat/>
    <w:rPr>
      <w:rFonts w:ascii="Arial" w:hAnsi="Arial" w:cs="Arial"/>
      <w:b/>
      <w:bCs/>
      <w:sz w:val="24"/>
      <w:szCs w:val="24"/>
    </w:rPr>
  </w:style>
  <w:style w:type="character" w:customStyle="1" w:styleId="Heading6Char">
    <w:name w:val="Heading 6 Char"/>
    <w:basedOn w:val="a0"/>
    <w:uiPriority w:val="9"/>
    <w:qFormat/>
    <w:rPr>
      <w:rFonts w:ascii="Arial" w:hAnsi="Arial" w:cs="Arial"/>
      <w:b/>
      <w:bCs/>
      <w:sz w:val="22"/>
      <w:szCs w:val="22"/>
    </w:rPr>
  </w:style>
  <w:style w:type="character" w:customStyle="1" w:styleId="Heading7Char">
    <w:name w:val="Heading 7 Char"/>
    <w:basedOn w:val="a0"/>
    <w:uiPriority w:val="9"/>
    <w:qFormat/>
    <w:rPr>
      <w:rFonts w:ascii="Arial" w:hAnsi="Arial" w:cs="Arial"/>
      <w:b/>
      <w:bCs/>
      <w:i/>
      <w:iCs/>
      <w:sz w:val="22"/>
      <w:szCs w:val="22"/>
    </w:rPr>
  </w:style>
  <w:style w:type="character" w:customStyle="1" w:styleId="Heading8Char">
    <w:name w:val="Heading 8 Char"/>
    <w:basedOn w:val="a0"/>
    <w:uiPriority w:val="9"/>
    <w:qFormat/>
    <w:rPr>
      <w:rFonts w:ascii="Arial" w:hAnsi="Arial" w:cs="Arial"/>
      <w:i/>
      <w:iCs/>
      <w:sz w:val="22"/>
      <w:szCs w:val="22"/>
    </w:rPr>
  </w:style>
  <w:style w:type="character" w:customStyle="1" w:styleId="Heading9Char">
    <w:name w:val="Heading 9 Char"/>
    <w:basedOn w:val="a0"/>
    <w:uiPriority w:val="9"/>
    <w:qFormat/>
    <w:rPr>
      <w:rFonts w:ascii="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
    <w:name w:val="Grid Table 2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FFFFFF"/>
      </w:tcPr>
    </w:tblStylePr>
    <w:tblStylePr w:type="lastRow">
      <w:rPr>
        <w:b/>
        <w:color w:val="404040"/>
      </w:rPr>
      <w:tblPr/>
      <w:tcPr>
        <w:tcBorders>
          <w:top w:val="single" w:sz="4" w:space="0" w:color="68A2D8" w:themeColor="accent1" w:themeTint="EA"/>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DEAF6"/>
      </w:tcPr>
    </w:tblStylePr>
    <w:tblStylePr w:type="band1Horz">
      <w:rPr>
        <w:rFonts w:ascii="Arial" w:hAnsi="Arial"/>
        <w:color w:val="404040"/>
        <w:sz w:val="22"/>
      </w:rPr>
      <w:tblPr/>
      <w:tcPr>
        <w:shd w:val="clear" w:color="FFFFFF" w:fill="DDEAF6"/>
      </w:tcPr>
    </w:tblStylePr>
  </w:style>
  <w:style w:type="table" w:customStyle="1" w:styleId="GridTable2-Accent2">
    <w:name w:val="Grid Table 2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FFFFFF"/>
      </w:tcPr>
    </w:tblStylePr>
    <w:tblStylePr w:type="lastRow">
      <w:rPr>
        <w:b/>
        <w:color w:val="404040"/>
      </w:rPr>
      <w:tblPr/>
      <w:tcPr>
        <w:tcBorders>
          <w:top w:val="single" w:sz="4" w:space="0" w:color="F4B184" w:themeColor="accent2" w:themeTint="97"/>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BE5D6"/>
      </w:tcPr>
    </w:tblStylePr>
    <w:tblStylePr w:type="band1Horz">
      <w:rPr>
        <w:rFonts w:ascii="Arial" w:hAnsi="Arial"/>
        <w:color w:val="404040"/>
        <w:sz w:val="22"/>
      </w:rPr>
      <w:tblPr/>
      <w:tcPr>
        <w:shd w:val="clear" w:color="FFFFFF" w:fill="FBE5D6"/>
      </w:tcPr>
    </w:tblStylePr>
  </w:style>
  <w:style w:type="table" w:customStyle="1" w:styleId="GridTable2-Accent3">
    <w:name w:val="Grid Table 2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FFFFFF"/>
      </w:tcPr>
    </w:tblStylePr>
    <w:tblStylePr w:type="lastRow">
      <w:rPr>
        <w:b/>
        <w:color w:val="404040"/>
      </w:rPr>
      <w:tblPr/>
      <w:tcPr>
        <w:tcBorders>
          <w:top w:val="single" w:sz="4" w:space="0" w:color="A5A5A5" w:themeColor="accent3" w:themeTint="FE"/>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CECEC"/>
      </w:tcPr>
    </w:tblStylePr>
    <w:tblStylePr w:type="band1Horz">
      <w:rPr>
        <w:rFonts w:ascii="Arial" w:hAnsi="Arial"/>
        <w:color w:val="404040"/>
        <w:sz w:val="22"/>
      </w:rPr>
      <w:tblPr/>
      <w:tcPr>
        <w:shd w:val="clear" w:color="FFFFFF" w:fill="ECECEC"/>
      </w:tcPr>
    </w:tblStylePr>
  </w:style>
  <w:style w:type="table" w:customStyle="1" w:styleId="GridTable2-Accent4">
    <w:name w:val="Grid Table 2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FFFFFF"/>
      </w:tcPr>
    </w:tblStylePr>
    <w:tblStylePr w:type="lastRow">
      <w:rPr>
        <w:b/>
        <w:color w:val="404040"/>
      </w:rPr>
      <w:tblPr/>
      <w:tcPr>
        <w:tcBorders>
          <w:top w:val="single" w:sz="4" w:space="0" w:color="FFD865" w:themeColor="accent4" w:themeTint="9A"/>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FF2CB"/>
      </w:tcPr>
    </w:tblStylePr>
    <w:tblStylePr w:type="band1Horz">
      <w:rPr>
        <w:rFonts w:ascii="Arial" w:hAnsi="Arial"/>
        <w:color w:val="404040"/>
        <w:sz w:val="22"/>
      </w:rPr>
      <w:tblPr/>
      <w:tcPr>
        <w:shd w:val="clear" w:color="FFFFFF" w:fill="FFF2CB"/>
      </w:tcPr>
    </w:tblStylePr>
  </w:style>
  <w:style w:type="table" w:customStyle="1" w:styleId="GridTable2-Accent5">
    <w:name w:val="Grid Table 2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FFFFFF"/>
      </w:tcPr>
    </w:tblStylePr>
    <w:tblStylePr w:type="lastRow">
      <w:rPr>
        <w:b/>
        <w:color w:val="404040"/>
      </w:rPr>
      <w:tblPr/>
      <w:tcPr>
        <w:tcBorders>
          <w:top w:val="single" w:sz="4" w:space="0" w:color="4472C4" w:themeColor="accent5"/>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8E2F3"/>
      </w:tcPr>
    </w:tblStylePr>
    <w:tblStylePr w:type="band1Horz">
      <w:rPr>
        <w:rFonts w:ascii="Arial" w:hAnsi="Arial"/>
        <w:color w:val="404040"/>
        <w:sz w:val="22"/>
      </w:rPr>
      <w:tblPr/>
      <w:tcPr>
        <w:shd w:val="clear" w:color="FFFFFF" w:fill="D8E2F3"/>
      </w:tcPr>
    </w:tblStylePr>
  </w:style>
  <w:style w:type="table" w:customStyle="1" w:styleId="GridTable2-Accent6">
    <w:name w:val="Grid Table 2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FFFFFF"/>
      </w:tcPr>
    </w:tblStylePr>
    <w:tblStylePr w:type="lastRow">
      <w:rPr>
        <w:b/>
        <w:color w:val="404040"/>
      </w:rPr>
      <w:tblPr/>
      <w:tcPr>
        <w:tcBorders>
          <w:top w:val="single" w:sz="4" w:space="0" w:color="70AD47" w:themeColor="accent6"/>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1EFD8"/>
      </w:tcPr>
    </w:tblStylePr>
    <w:tblStylePr w:type="band1Horz">
      <w:rPr>
        <w:rFonts w:ascii="Arial" w:hAnsi="Arial"/>
        <w:color w:val="404040"/>
        <w:sz w:val="22"/>
      </w:rPr>
      <w:tblPr/>
      <w:tcPr>
        <w:shd w:val="clear" w:color="FFFFFF" w:fill="E1EFD8"/>
      </w:tcPr>
    </w:tblStylePr>
  </w:style>
  <w:style w:type="table" w:customStyle="1" w:styleId="GridTable3-Accent1">
    <w:name w:val="Grid Table 3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FFFFFF"/>
      </w:tcPr>
    </w:tblStylePr>
    <w:tblStylePr w:type="lastRow">
      <w:rPr>
        <w:b/>
        <w:color w:val="404040"/>
      </w:rPr>
      <w:tblPr/>
      <w:tcPr>
        <w:tcBorders>
          <w:top w:val="nil"/>
          <w:left w:val="nil"/>
          <w:bottom w:val="nil"/>
          <w:right w:val="nil"/>
        </w:tcBorders>
        <w:shd w:val="clear" w:color="FFFFFF" w:fill="FFFFFF"/>
      </w:tcPr>
    </w:tblStylePr>
    <w:tblStylePr w:type="firstCol">
      <w:pPr>
        <w:jc w:val="right"/>
      </w:pPr>
      <w:rPr>
        <w:i/>
        <w:color w:val="404040"/>
      </w:rPr>
      <w:tblPr/>
      <w:tcPr>
        <w:tcBorders>
          <w:top w:val="nil"/>
          <w:left w:val="nil"/>
          <w:bottom w:val="nil"/>
          <w:right w:val="nil"/>
        </w:tcBorders>
        <w:shd w:val="clear" w:color="FFFFFF" w:fill="FFFFFF"/>
      </w:tcPr>
    </w:tblStylePr>
    <w:tblStylePr w:type="lastCol">
      <w:rPr>
        <w:i/>
        <w:color w:val="404040"/>
      </w:rPr>
      <w:tblPr/>
      <w:tcPr>
        <w:tcBorders>
          <w:top w:val="nil"/>
          <w:left w:val="nil"/>
          <w:bottom w:val="nil"/>
          <w:right w:val="nil"/>
        </w:tcBorders>
        <w:shd w:val="clear" w:color="FFFFFF" w:fill="FFFFFF"/>
      </w:tcPr>
    </w:tblStylePr>
    <w:tblStylePr w:type="band1Vert">
      <w:rPr>
        <w:rFonts w:ascii="Arial" w:hAnsi="Arial"/>
        <w:color w:val="404040"/>
        <w:sz w:val="22"/>
      </w:rPr>
      <w:tblPr/>
      <w:tcPr>
        <w:shd w:val="clear" w:color="FFFFFF" w:fill="DDEAF6"/>
      </w:tcPr>
    </w:tblStylePr>
    <w:tblStylePr w:type="band1Horz">
      <w:rPr>
        <w:rFonts w:ascii="Arial" w:hAnsi="Arial"/>
        <w:color w:val="404040"/>
        <w:sz w:val="22"/>
      </w:rPr>
      <w:tblPr/>
      <w:tcPr>
        <w:shd w:val="clear" w:color="FFFFFF" w:fill="DDEAF6"/>
      </w:tcPr>
    </w:tblStylePr>
  </w:style>
  <w:style w:type="table" w:customStyle="1" w:styleId="GridTable3-Accent2">
    <w:name w:val="Grid Table 3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FFFFFF"/>
      </w:tcPr>
    </w:tblStylePr>
    <w:tblStylePr w:type="lastRow">
      <w:rPr>
        <w:b/>
        <w:color w:val="404040"/>
      </w:rPr>
      <w:tblPr/>
      <w:tcPr>
        <w:tcBorders>
          <w:top w:val="nil"/>
          <w:left w:val="nil"/>
          <w:bottom w:val="nil"/>
          <w:right w:val="nil"/>
        </w:tcBorders>
        <w:shd w:val="clear" w:color="FFFFFF" w:fill="FFFFFF"/>
      </w:tcPr>
    </w:tblStylePr>
    <w:tblStylePr w:type="firstCol">
      <w:pPr>
        <w:jc w:val="right"/>
      </w:pPr>
      <w:rPr>
        <w:i/>
        <w:color w:val="404040"/>
      </w:rPr>
      <w:tblPr/>
      <w:tcPr>
        <w:tcBorders>
          <w:top w:val="nil"/>
          <w:left w:val="nil"/>
          <w:bottom w:val="nil"/>
          <w:right w:val="nil"/>
        </w:tcBorders>
        <w:shd w:val="clear" w:color="FFFFFF" w:fill="FFFFFF"/>
      </w:tcPr>
    </w:tblStylePr>
    <w:tblStylePr w:type="lastCol">
      <w:rPr>
        <w:i/>
        <w:color w:val="404040"/>
      </w:rPr>
      <w:tblPr/>
      <w:tcPr>
        <w:tcBorders>
          <w:top w:val="nil"/>
          <w:left w:val="nil"/>
          <w:bottom w:val="nil"/>
          <w:right w:val="nil"/>
        </w:tcBorders>
        <w:shd w:val="clear" w:color="FFFFFF" w:fill="FFFFFF"/>
      </w:tcPr>
    </w:tblStylePr>
    <w:tblStylePr w:type="band1Vert">
      <w:rPr>
        <w:rFonts w:ascii="Arial" w:hAnsi="Arial"/>
        <w:color w:val="404040"/>
        <w:sz w:val="22"/>
      </w:rPr>
      <w:tblPr/>
      <w:tcPr>
        <w:shd w:val="clear" w:color="FFFFFF" w:fill="FBE5D6"/>
      </w:tcPr>
    </w:tblStylePr>
    <w:tblStylePr w:type="band1Horz">
      <w:rPr>
        <w:rFonts w:ascii="Arial" w:hAnsi="Arial"/>
        <w:color w:val="404040"/>
        <w:sz w:val="22"/>
      </w:rPr>
      <w:tblPr/>
      <w:tcPr>
        <w:shd w:val="clear" w:color="FFFFFF" w:fill="FBE5D6"/>
      </w:tcPr>
    </w:tblStylePr>
  </w:style>
  <w:style w:type="table" w:customStyle="1" w:styleId="GridTable3-Accent3">
    <w:name w:val="Grid Table 3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FFFFFF"/>
      </w:tcPr>
    </w:tblStylePr>
    <w:tblStylePr w:type="lastRow">
      <w:rPr>
        <w:b/>
        <w:color w:val="404040"/>
      </w:rPr>
      <w:tblPr/>
      <w:tcPr>
        <w:tcBorders>
          <w:top w:val="nil"/>
          <w:left w:val="nil"/>
          <w:bottom w:val="nil"/>
          <w:right w:val="nil"/>
        </w:tcBorders>
        <w:shd w:val="clear" w:color="FFFFFF" w:fill="FFFFFF"/>
      </w:tcPr>
    </w:tblStylePr>
    <w:tblStylePr w:type="firstCol">
      <w:pPr>
        <w:jc w:val="right"/>
      </w:pPr>
      <w:rPr>
        <w:i/>
        <w:color w:val="404040"/>
      </w:rPr>
      <w:tblPr/>
      <w:tcPr>
        <w:tcBorders>
          <w:top w:val="nil"/>
          <w:left w:val="nil"/>
          <w:bottom w:val="nil"/>
          <w:right w:val="nil"/>
        </w:tcBorders>
        <w:shd w:val="clear" w:color="FFFFFF" w:fill="FFFFFF"/>
      </w:tcPr>
    </w:tblStylePr>
    <w:tblStylePr w:type="lastCol">
      <w:rPr>
        <w:i/>
        <w:color w:val="404040"/>
      </w:rPr>
      <w:tblPr/>
      <w:tcPr>
        <w:tcBorders>
          <w:top w:val="nil"/>
          <w:left w:val="nil"/>
          <w:bottom w:val="nil"/>
          <w:right w:val="nil"/>
        </w:tcBorders>
        <w:shd w:val="clear" w:color="FFFFFF" w:fill="FFFFFF"/>
      </w:tcPr>
    </w:tblStylePr>
    <w:tblStylePr w:type="band1Vert">
      <w:rPr>
        <w:rFonts w:ascii="Arial" w:hAnsi="Arial"/>
        <w:color w:val="404040"/>
        <w:sz w:val="22"/>
      </w:rPr>
      <w:tblPr/>
      <w:tcPr>
        <w:shd w:val="clear" w:color="FFFFFF" w:fill="ECECEC"/>
      </w:tcPr>
    </w:tblStylePr>
    <w:tblStylePr w:type="band1Horz">
      <w:rPr>
        <w:rFonts w:ascii="Arial" w:hAnsi="Arial"/>
        <w:color w:val="404040"/>
        <w:sz w:val="22"/>
      </w:rPr>
      <w:tblPr/>
      <w:tcPr>
        <w:shd w:val="clear" w:color="FFFFFF" w:fill="ECECEC"/>
      </w:tcPr>
    </w:tblStylePr>
  </w:style>
  <w:style w:type="table" w:customStyle="1" w:styleId="GridTable3-Accent4">
    <w:name w:val="Grid Table 3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FFFFFF"/>
      </w:tcPr>
    </w:tblStylePr>
    <w:tblStylePr w:type="lastRow">
      <w:rPr>
        <w:b/>
        <w:color w:val="404040"/>
      </w:rPr>
      <w:tblPr/>
      <w:tcPr>
        <w:tcBorders>
          <w:top w:val="nil"/>
          <w:left w:val="nil"/>
          <w:bottom w:val="nil"/>
          <w:right w:val="nil"/>
        </w:tcBorders>
        <w:shd w:val="clear" w:color="FFFFFF" w:fill="FFFFFF"/>
      </w:tcPr>
    </w:tblStylePr>
    <w:tblStylePr w:type="firstCol">
      <w:pPr>
        <w:jc w:val="right"/>
      </w:pPr>
      <w:rPr>
        <w:i/>
        <w:color w:val="404040"/>
      </w:rPr>
      <w:tblPr/>
      <w:tcPr>
        <w:tcBorders>
          <w:top w:val="nil"/>
          <w:left w:val="nil"/>
          <w:bottom w:val="nil"/>
          <w:right w:val="nil"/>
        </w:tcBorders>
        <w:shd w:val="clear" w:color="FFFFFF" w:fill="FFFFFF"/>
      </w:tcPr>
    </w:tblStylePr>
    <w:tblStylePr w:type="lastCol">
      <w:rPr>
        <w:i/>
        <w:color w:val="404040"/>
      </w:rPr>
      <w:tblPr/>
      <w:tcPr>
        <w:tcBorders>
          <w:top w:val="nil"/>
          <w:left w:val="nil"/>
          <w:bottom w:val="nil"/>
          <w:right w:val="nil"/>
        </w:tcBorders>
        <w:shd w:val="clear" w:color="FFFFFF" w:fill="FFFFFF"/>
      </w:tcPr>
    </w:tblStylePr>
    <w:tblStylePr w:type="band1Vert">
      <w:rPr>
        <w:rFonts w:ascii="Arial" w:hAnsi="Arial"/>
        <w:color w:val="404040"/>
        <w:sz w:val="22"/>
      </w:rPr>
      <w:tblPr/>
      <w:tcPr>
        <w:shd w:val="clear" w:color="FFFFFF" w:fill="FFF2CB"/>
      </w:tcPr>
    </w:tblStylePr>
    <w:tblStylePr w:type="band1Horz">
      <w:rPr>
        <w:rFonts w:ascii="Arial" w:hAnsi="Arial"/>
        <w:color w:val="404040"/>
        <w:sz w:val="22"/>
      </w:rPr>
      <w:tblPr/>
      <w:tcPr>
        <w:shd w:val="clear" w:color="FFFFFF" w:fill="FFF2CB"/>
      </w:tcPr>
    </w:tblStylePr>
  </w:style>
  <w:style w:type="table" w:customStyle="1" w:styleId="GridTable3-Accent5">
    <w:name w:val="Grid Table 3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FFFFFF"/>
      </w:tcPr>
    </w:tblStylePr>
    <w:tblStylePr w:type="lastRow">
      <w:rPr>
        <w:b/>
        <w:color w:val="404040"/>
      </w:rPr>
      <w:tblPr/>
      <w:tcPr>
        <w:tcBorders>
          <w:top w:val="nil"/>
          <w:left w:val="nil"/>
          <w:bottom w:val="nil"/>
          <w:right w:val="nil"/>
        </w:tcBorders>
        <w:shd w:val="clear" w:color="FFFFFF" w:fill="FFFFFF"/>
      </w:tcPr>
    </w:tblStylePr>
    <w:tblStylePr w:type="firstCol">
      <w:pPr>
        <w:jc w:val="right"/>
      </w:pPr>
      <w:rPr>
        <w:i/>
        <w:color w:val="404040"/>
      </w:rPr>
      <w:tblPr/>
      <w:tcPr>
        <w:tcBorders>
          <w:top w:val="nil"/>
          <w:left w:val="nil"/>
          <w:bottom w:val="nil"/>
          <w:right w:val="nil"/>
        </w:tcBorders>
        <w:shd w:val="clear" w:color="FFFFFF" w:fill="FFFFFF"/>
      </w:tcPr>
    </w:tblStylePr>
    <w:tblStylePr w:type="lastCol">
      <w:rPr>
        <w:i/>
        <w:color w:val="404040"/>
      </w:rPr>
      <w:tblPr/>
      <w:tcPr>
        <w:tcBorders>
          <w:top w:val="nil"/>
          <w:left w:val="nil"/>
          <w:bottom w:val="nil"/>
          <w:right w:val="nil"/>
        </w:tcBorders>
        <w:shd w:val="clear" w:color="FFFFFF" w:fill="FFFFFF"/>
      </w:tcPr>
    </w:tblStylePr>
    <w:tblStylePr w:type="band1Vert">
      <w:rPr>
        <w:rFonts w:ascii="Arial" w:hAnsi="Arial"/>
        <w:color w:val="404040"/>
        <w:sz w:val="22"/>
      </w:rPr>
      <w:tblPr/>
      <w:tcPr>
        <w:shd w:val="clear" w:color="FFFFFF" w:fill="D8E2F3"/>
      </w:tcPr>
    </w:tblStylePr>
    <w:tblStylePr w:type="band1Horz">
      <w:rPr>
        <w:rFonts w:ascii="Arial" w:hAnsi="Arial"/>
        <w:color w:val="404040"/>
        <w:sz w:val="22"/>
      </w:rPr>
      <w:tblPr/>
      <w:tcPr>
        <w:shd w:val="clear" w:color="FFFFFF" w:fill="D8E2F3"/>
      </w:tcPr>
    </w:tblStylePr>
  </w:style>
  <w:style w:type="table" w:customStyle="1" w:styleId="GridTable3-Accent6">
    <w:name w:val="Grid Table 3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FFFFFF"/>
      </w:tcPr>
    </w:tblStylePr>
    <w:tblStylePr w:type="lastRow">
      <w:rPr>
        <w:b/>
        <w:color w:val="404040"/>
      </w:rPr>
      <w:tblPr/>
      <w:tcPr>
        <w:tcBorders>
          <w:top w:val="nil"/>
          <w:left w:val="nil"/>
          <w:bottom w:val="nil"/>
          <w:right w:val="nil"/>
        </w:tcBorders>
        <w:shd w:val="clear" w:color="FFFFFF" w:fill="FFFFFF"/>
      </w:tcPr>
    </w:tblStylePr>
    <w:tblStylePr w:type="firstCol">
      <w:pPr>
        <w:jc w:val="right"/>
      </w:pPr>
      <w:rPr>
        <w:i/>
        <w:color w:val="404040"/>
      </w:rPr>
      <w:tblPr/>
      <w:tcPr>
        <w:tcBorders>
          <w:top w:val="nil"/>
          <w:left w:val="nil"/>
          <w:bottom w:val="nil"/>
          <w:right w:val="nil"/>
        </w:tcBorders>
        <w:shd w:val="clear" w:color="FFFFFF" w:fill="FFFFFF"/>
      </w:tcPr>
    </w:tblStylePr>
    <w:tblStylePr w:type="lastCol">
      <w:rPr>
        <w:i/>
        <w:color w:val="404040"/>
      </w:rPr>
      <w:tblPr/>
      <w:tcPr>
        <w:tcBorders>
          <w:top w:val="nil"/>
          <w:left w:val="nil"/>
          <w:bottom w:val="nil"/>
          <w:right w:val="nil"/>
        </w:tcBorders>
        <w:shd w:val="clear" w:color="FFFFFF" w:fill="FFFFFF"/>
      </w:tcPr>
    </w:tblStylePr>
    <w:tblStylePr w:type="band1Vert">
      <w:rPr>
        <w:rFonts w:ascii="Arial" w:hAnsi="Arial"/>
        <w:color w:val="404040"/>
        <w:sz w:val="22"/>
      </w:rPr>
      <w:tblPr/>
      <w:tcPr>
        <w:shd w:val="clear" w:color="FFFFFF" w:fill="E1EFD8"/>
      </w:tcPr>
    </w:tblStylePr>
    <w:tblStylePr w:type="band1Horz">
      <w:rPr>
        <w:rFonts w:ascii="Arial" w:hAnsi="Arial"/>
        <w:color w:val="404040"/>
        <w:sz w:val="22"/>
      </w:rPr>
      <w:tblPr/>
      <w:tcPr>
        <w:shd w:val="clear" w:color="FFFFFF" w:fill="E1EFD8"/>
      </w:tcPr>
    </w:tblStylePr>
  </w:style>
  <w:style w:type="table" w:customStyle="1" w:styleId="GridTable4-Accent1">
    <w:name w:val="Grid Table 4 - Accent 1"/>
    <w:basedOn w:val="a1"/>
    <w:uiPriority w:val="5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FFFFFF" w:fill="68A2D8"/>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EEBF6"/>
      </w:tcPr>
    </w:tblStylePr>
    <w:tblStylePr w:type="band1Horz">
      <w:rPr>
        <w:rFonts w:ascii="Arial" w:hAnsi="Arial"/>
        <w:color w:val="404040"/>
        <w:sz w:val="22"/>
      </w:rPr>
      <w:tblPr/>
      <w:tcPr>
        <w:shd w:val="clear" w:color="FFFFFF" w:fill="DEEBF6"/>
      </w:tcPr>
    </w:tblStylePr>
  </w:style>
  <w:style w:type="table" w:customStyle="1" w:styleId="GridTable4-Accent2">
    <w:name w:val="Grid Table 4 - Accent 2"/>
    <w:basedOn w:val="a1"/>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FFFFF" w:fill="F4B184"/>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BE5D6"/>
      </w:tcPr>
    </w:tblStylePr>
    <w:tblStylePr w:type="band1Horz">
      <w:rPr>
        <w:rFonts w:ascii="Arial" w:hAnsi="Arial"/>
        <w:color w:val="404040"/>
        <w:sz w:val="22"/>
      </w:rPr>
      <w:tblPr/>
      <w:tcPr>
        <w:shd w:val="clear" w:color="FFFFFF" w:fill="FBE5D6"/>
      </w:tcPr>
    </w:tblStylePr>
  </w:style>
  <w:style w:type="table" w:customStyle="1" w:styleId="GridTable4-Accent3">
    <w:name w:val="Grid Table 4 - Accent 3"/>
    <w:basedOn w:val="a1"/>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FFFFFF" w:fill="A5A5A5"/>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CECEC"/>
      </w:tcPr>
    </w:tblStylePr>
    <w:tblStylePr w:type="band1Horz">
      <w:rPr>
        <w:rFonts w:ascii="Arial" w:hAnsi="Arial"/>
        <w:color w:val="404040"/>
        <w:sz w:val="22"/>
      </w:rPr>
      <w:tblPr/>
      <w:tcPr>
        <w:shd w:val="clear" w:color="FFFFFF" w:fill="ECECEC"/>
      </w:tcPr>
    </w:tblStylePr>
  </w:style>
  <w:style w:type="table" w:customStyle="1" w:styleId="GridTable4-Accent4">
    <w:name w:val="Grid Table 4 - Accent 4"/>
    <w:basedOn w:val="a1"/>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FFFF" w:fill="FFD865"/>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FF2CB"/>
      </w:tcPr>
    </w:tblStylePr>
    <w:tblStylePr w:type="band1Horz">
      <w:rPr>
        <w:rFonts w:ascii="Arial" w:hAnsi="Arial"/>
        <w:color w:val="404040"/>
        <w:sz w:val="22"/>
      </w:rPr>
      <w:tblPr/>
      <w:tcPr>
        <w:shd w:val="clear" w:color="FFFFFF" w:fill="FFF2CB"/>
      </w:tcPr>
    </w:tblStylePr>
  </w:style>
  <w:style w:type="table" w:customStyle="1" w:styleId="GridTable4-Accent5">
    <w:name w:val="Grid Table 4 - Accent 5"/>
    <w:basedOn w:val="a1"/>
    <w:uiPriority w:val="5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FFFFFF" w:fill="4472C4"/>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8E2F3"/>
      </w:tcPr>
    </w:tblStylePr>
    <w:tblStylePr w:type="band1Horz">
      <w:rPr>
        <w:rFonts w:ascii="Arial" w:hAnsi="Arial"/>
        <w:color w:val="404040"/>
        <w:sz w:val="22"/>
      </w:rPr>
      <w:tblPr/>
      <w:tcPr>
        <w:shd w:val="clear" w:color="FFFFFF" w:fill="D8E2F3"/>
      </w:tcPr>
    </w:tblStylePr>
  </w:style>
  <w:style w:type="table" w:customStyle="1" w:styleId="GridTable4-Accent6">
    <w:name w:val="Grid Table 4 - Accent 6"/>
    <w:basedOn w:val="a1"/>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FFFFFF" w:fill="70AD47"/>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1EFD8"/>
      </w:tcPr>
    </w:tblStylePr>
    <w:tblStylePr w:type="band1Horz">
      <w:rPr>
        <w:rFonts w:ascii="Arial" w:hAnsi="Arial"/>
        <w:color w:val="404040"/>
        <w:sz w:val="22"/>
      </w:rPr>
      <w:tblPr/>
      <w:tcPr>
        <w:shd w:val="clear" w:color="FFFFFF" w:fill="E1EFD8"/>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FFFF" w:fill="5B9BD5"/>
      </w:tcPr>
    </w:tblStylePr>
    <w:tblStylePr w:type="lastRow">
      <w:rPr>
        <w:rFonts w:ascii="Arial" w:hAnsi="Arial"/>
        <w:b/>
        <w:color w:val="FFFFFF"/>
        <w:sz w:val="22"/>
      </w:rPr>
      <w:tblPr/>
      <w:tcPr>
        <w:tcBorders>
          <w:top w:val="single" w:sz="4" w:space="0" w:color="FFFFFF" w:themeColor="light1"/>
        </w:tcBorders>
        <w:shd w:val="clear" w:color="FFFFFF" w:fill="5B9BD5"/>
      </w:tcPr>
    </w:tblStylePr>
    <w:tblStylePr w:type="firstCol">
      <w:rPr>
        <w:rFonts w:ascii="Arial" w:hAnsi="Arial"/>
        <w:b/>
        <w:color w:val="FFFFFF"/>
        <w:sz w:val="22"/>
      </w:rPr>
      <w:tblPr/>
      <w:tcPr>
        <w:shd w:val="clear" w:color="FFFFFF" w:fill="5B9BD5"/>
      </w:tcPr>
    </w:tblStylePr>
    <w:tblStylePr w:type="lastCol">
      <w:rPr>
        <w:rFonts w:ascii="Arial" w:hAnsi="Arial"/>
        <w:b/>
        <w:color w:val="FFFFFF"/>
        <w:sz w:val="22"/>
      </w:rPr>
      <w:tblPr/>
      <w:tcPr>
        <w:shd w:val="clear" w:color="FFFFFF" w:fill="5B9BD5"/>
      </w:tcPr>
    </w:tblStylePr>
    <w:tblStylePr w:type="band1Vert">
      <w:tblPr/>
      <w:tcPr>
        <w:shd w:val="clear" w:color="FFFFFF" w:fill="B3D0EB"/>
      </w:tcPr>
    </w:tblStylePr>
    <w:tblStylePr w:type="band1Horz">
      <w:tblPr/>
      <w:tcPr>
        <w:shd w:val="clear" w:color="FFFFFF" w:fill="B3D0EB"/>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FFFF" w:fill="ED7D31"/>
      </w:tcPr>
    </w:tblStylePr>
    <w:tblStylePr w:type="lastRow">
      <w:rPr>
        <w:rFonts w:ascii="Arial" w:hAnsi="Arial"/>
        <w:b/>
        <w:color w:val="FFFFFF"/>
        <w:sz w:val="22"/>
      </w:rPr>
      <w:tblPr/>
      <w:tcPr>
        <w:tcBorders>
          <w:top w:val="single" w:sz="4" w:space="0" w:color="FFFFFF" w:themeColor="light1"/>
        </w:tcBorders>
        <w:shd w:val="clear" w:color="FFFFFF" w:fill="ED7D31"/>
      </w:tcPr>
    </w:tblStylePr>
    <w:tblStylePr w:type="firstCol">
      <w:rPr>
        <w:rFonts w:ascii="Arial" w:hAnsi="Arial"/>
        <w:b/>
        <w:color w:val="FFFFFF"/>
        <w:sz w:val="22"/>
      </w:rPr>
      <w:tblPr/>
      <w:tcPr>
        <w:shd w:val="clear" w:color="FFFFFF" w:fill="ED7D31"/>
      </w:tcPr>
    </w:tblStylePr>
    <w:tblStylePr w:type="lastCol">
      <w:rPr>
        <w:rFonts w:ascii="Arial" w:hAnsi="Arial"/>
        <w:b/>
        <w:color w:val="FFFFFF"/>
        <w:sz w:val="22"/>
      </w:rPr>
      <w:tblPr/>
      <w:tcPr>
        <w:shd w:val="clear" w:color="FFFFFF" w:fill="ED7D31"/>
      </w:tcPr>
    </w:tblStylePr>
    <w:tblStylePr w:type="band1Vert">
      <w:tblPr/>
      <w:tcPr>
        <w:shd w:val="clear" w:color="FFFFFF" w:fill="F6C3A0"/>
      </w:tcPr>
    </w:tblStylePr>
    <w:tblStylePr w:type="band1Horz">
      <w:tblPr/>
      <w:tcPr>
        <w:shd w:val="clear" w:color="FFFFFF" w:fill="F6C3A0"/>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FFFF" w:fill="A5A5A5"/>
      </w:tcPr>
    </w:tblStylePr>
    <w:tblStylePr w:type="lastRow">
      <w:rPr>
        <w:rFonts w:ascii="Arial" w:hAnsi="Arial"/>
        <w:b/>
        <w:color w:val="FFFFFF"/>
        <w:sz w:val="22"/>
      </w:rPr>
      <w:tblPr/>
      <w:tcPr>
        <w:tcBorders>
          <w:top w:val="single" w:sz="4" w:space="0" w:color="FFFFFF" w:themeColor="light1"/>
        </w:tcBorders>
        <w:shd w:val="clear" w:color="FFFFFF" w:fill="A5A5A5"/>
      </w:tcPr>
    </w:tblStylePr>
    <w:tblStylePr w:type="firstCol">
      <w:rPr>
        <w:rFonts w:ascii="Arial" w:hAnsi="Arial"/>
        <w:b/>
        <w:color w:val="FFFFFF"/>
        <w:sz w:val="22"/>
      </w:rPr>
      <w:tblPr/>
      <w:tcPr>
        <w:shd w:val="clear" w:color="FFFFFF" w:fill="A5A5A5"/>
      </w:tcPr>
    </w:tblStylePr>
    <w:tblStylePr w:type="lastCol">
      <w:rPr>
        <w:rFonts w:ascii="Arial" w:hAnsi="Arial"/>
        <w:b/>
        <w:color w:val="FFFFFF"/>
        <w:sz w:val="22"/>
      </w:rPr>
      <w:tblPr/>
      <w:tcPr>
        <w:shd w:val="clear" w:color="FFFFFF" w:fill="A5A5A5"/>
      </w:tcPr>
    </w:tblStylePr>
    <w:tblStylePr w:type="band1Vert">
      <w:tblPr/>
      <w:tcPr>
        <w:shd w:val="clear" w:color="FFFFFF" w:fill="D5D5D5"/>
      </w:tcPr>
    </w:tblStylePr>
    <w:tblStylePr w:type="band1Horz">
      <w:tblPr/>
      <w:tcPr>
        <w:shd w:val="clear" w:color="FFFFFF" w:fill="D5D5D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FFFF" w:fill="FFC000"/>
      </w:tcPr>
    </w:tblStylePr>
    <w:tblStylePr w:type="lastRow">
      <w:rPr>
        <w:rFonts w:ascii="Arial" w:hAnsi="Arial"/>
        <w:b/>
        <w:color w:val="FFFFFF"/>
        <w:sz w:val="22"/>
      </w:rPr>
      <w:tblPr/>
      <w:tcPr>
        <w:tcBorders>
          <w:top w:val="single" w:sz="4" w:space="0" w:color="FFFFFF" w:themeColor="light1"/>
        </w:tcBorders>
        <w:shd w:val="clear" w:color="FFFFFF" w:fill="FFC000"/>
      </w:tcPr>
    </w:tblStylePr>
    <w:tblStylePr w:type="firstCol">
      <w:rPr>
        <w:rFonts w:ascii="Arial" w:hAnsi="Arial"/>
        <w:b/>
        <w:color w:val="FFFFFF"/>
        <w:sz w:val="22"/>
      </w:rPr>
      <w:tblPr/>
      <w:tcPr>
        <w:shd w:val="clear" w:color="FFFFFF" w:fill="FFC000"/>
      </w:tcPr>
    </w:tblStylePr>
    <w:tblStylePr w:type="lastCol">
      <w:rPr>
        <w:rFonts w:ascii="Arial" w:hAnsi="Arial"/>
        <w:b/>
        <w:color w:val="FFFFFF"/>
        <w:sz w:val="22"/>
      </w:rPr>
      <w:tblPr/>
      <w:tcPr>
        <w:shd w:val="clear" w:color="FFFFFF" w:fill="FFC000"/>
      </w:tcPr>
    </w:tblStylePr>
    <w:tblStylePr w:type="band1Vert">
      <w:tblPr/>
      <w:tcPr>
        <w:shd w:val="clear" w:color="FFFFFF" w:fill="FFE28A"/>
      </w:tcPr>
    </w:tblStylePr>
    <w:tblStylePr w:type="band1Horz">
      <w:tblPr/>
      <w:tcPr>
        <w:shd w:val="clear" w:color="FFFFFF" w:fill="FFE28A"/>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FFFF" w:fill="4472C4"/>
      </w:tcPr>
    </w:tblStylePr>
    <w:tblStylePr w:type="lastRow">
      <w:rPr>
        <w:rFonts w:ascii="Arial" w:hAnsi="Arial"/>
        <w:b/>
        <w:color w:val="FFFFFF"/>
        <w:sz w:val="22"/>
      </w:rPr>
      <w:tblPr/>
      <w:tcPr>
        <w:tcBorders>
          <w:top w:val="single" w:sz="4" w:space="0" w:color="FFFFFF" w:themeColor="light1"/>
        </w:tcBorders>
        <w:shd w:val="clear" w:color="FFFFFF" w:fill="4472C4"/>
      </w:tcPr>
    </w:tblStylePr>
    <w:tblStylePr w:type="firstCol">
      <w:rPr>
        <w:rFonts w:ascii="Arial" w:hAnsi="Arial"/>
        <w:b/>
        <w:color w:val="FFFFFF"/>
        <w:sz w:val="22"/>
      </w:rPr>
      <w:tblPr/>
      <w:tcPr>
        <w:shd w:val="clear" w:color="FFFFFF" w:fill="4472C4"/>
      </w:tcPr>
    </w:tblStylePr>
    <w:tblStylePr w:type="lastCol">
      <w:rPr>
        <w:rFonts w:ascii="Arial" w:hAnsi="Arial"/>
        <w:b/>
        <w:color w:val="FFFFFF"/>
        <w:sz w:val="22"/>
      </w:rPr>
      <w:tblPr/>
      <w:tcPr>
        <w:shd w:val="clear" w:color="FFFFFF" w:fill="4472C4"/>
      </w:tcPr>
    </w:tblStylePr>
    <w:tblStylePr w:type="band1Vert">
      <w:tblPr/>
      <w:tcPr>
        <w:shd w:val="clear" w:color="FFFFFF" w:fill="A9BEE4"/>
      </w:tcPr>
    </w:tblStylePr>
    <w:tblStylePr w:type="band1Horz">
      <w:tblPr/>
      <w:tcPr>
        <w:shd w:val="clear" w:color="FFFFFF" w:fill="A9BEE4"/>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FFFF" w:fill="70AD47"/>
      </w:tcPr>
    </w:tblStylePr>
    <w:tblStylePr w:type="lastRow">
      <w:rPr>
        <w:rFonts w:ascii="Arial" w:hAnsi="Arial"/>
        <w:b/>
        <w:color w:val="FFFFFF"/>
        <w:sz w:val="22"/>
      </w:rPr>
      <w:tblPr/>
      <w:tcPr>
        <w:tcBorders>
          <w:top w:val="single" w:sz="4" w:space="0" w:color="FFFFFF" w:themeColor="light1"/>
        </w:tcBorders>
        <w:shd w:val="clear" w:color="FFFFFF" w:fill="70AD47"/>
      </w:tcPr>
    </w:tblStylePr>
    <w:tblStylePr w:type="firstCol">
      <w:rPr>
        <w:rFonts w:ascii="Arial" w:hAnsi="Arial"/>
        <w:b/>
        <w:color w:val="FFFFFF"/>
        <w:sz w:val="22"/>
      </w:rPr>
      <w:tblPr/>
      <w:tcPr>
        <w:shd w:val="clear" w:color="FFFFFF" w:fill="70AD47"/>
      </w:tcPr>
    </w:tblStylePr>
    <w:tblStylePr w:type="lastCol">
      <w:rPr>
        <w:rFonts w:ascii="Arial" w:hAnsi="Arial"/>
        <w:b/>
        <w:color w:val="FFFFFF"/>
        <w:sz w:val="22"/>
      </w:rPr>
      <w:tblPr/>
      <w:tcPr>
        <w:shd w:val="clear" w:color="FFFFFF" w:fill="70AD47"/>
      </w:tcPr>
    </w:tblStylePr>
    <w:tblStylePr w:type="band1Vert">
      <w:tblPr/>
      <w:tcPr>
        <w:shd w:val="clear" w:color="FFFFFF" w:fill="BCDBA8"/>
      </w:tcPr>
    </w:tblStylePr>
    <w:tblStylePr w:type="band1Horz">
      <w:tblPr/>
      <w:tcPr>
        <w:shd w:val="clear" w:color="FFFFFF" w:fill="BCDBA8"/>
      </w:tcPr>
    </w:tblStylePr>
  </w:style>
  <w:style w:type="table" w:customStyle="1" w:styleId="GridTable6Colorful-Accent1">
    <w:name w:val="Grid Table 6 Colorful - Accent 1"/>
    <w:basedOn w:val="a1"/>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FFFFFF" w:fill="DDEAF6"/>
      </w:tcPr>
    </w:tblStylePr>
    <w:tblStylePr w:type="band1Horz">
      <w:rPr>
        <w:rFonts w:ascii="Arial" w:hAnsi="Arial"/>
        <w:color w:val="ACCCEA" w:themeColor="accent1" w:themeTint="80"/>
        <w:sz w:val="22"/>
      </w:rPr>
      <w:tblPr/>
      <w:tcPr>
        <w:shd w:val="clear" w:color="FFFFFF" w:fill="DDEAF6"/>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FFFFF" w:fill="FBE5D6"/>
      </w:tcPr>
    </w:tblStylePr>
    <w:tblStylePr w:type="band1Horz">
      <w:rPr>
        <w:rFonts w:ascii="Arial" w:hAnsi="Arial"/>
        <w:color w:val="F4B285" w:themeColor="accent2" w:themeTint="96"/>
        <w:sz w:val="22"/>
      </w:rPr>
      <w:tblPr/>
      <w:tcPr>
        <w:shd w:val="clear" w:color="FFFFFF" w:fill="FBE5D6"/>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FFFFFF" w:fill="ECECEC"/>
      </w:tcPr>
    </w:tblStylePr>
    <w:tblStylePr w:type="band1Horz">
      <w:rPr>
        <w:rFonts w:ascii="Arial" w:hAnsi="Arial"/>
        <w:color w:val="A5A5A5" w:themeColor="accent3"/>
        <w:sz w:val="22"/>
      </w:rPr>
      <w:tblPr/>
      <w:tcPr>
        <w:shd w:val="clear" w:color="FFFFFF" w:fill="ECECEC"/>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FFF" w:fill="FFF2CB"/>
      </w:tcPr>
    </w:tblStylePr>
    <w:tblStylePr w:type="band1Horz">
      <w:rPr>
        <w:rFonts w:ascii="Arial" w:hAnsi="Arial"/>
        <w:color w:val="FFD966" w:themeColor="accent4" w:themeTint="99"/>
        <w:sz w:val="22"/>
      </w:rPr>
      <w:tblPr/>
      <w:tcPr>
        <w:shd w:val="clear" w:color="FFFFFF" w:fill="FFF2CB"/>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FFFFFF" w:fill="D8E2F3"/>
      </w:tcPr>
    </w:tblStylePr>
    <w:tblStylePr w:type="band1Horz">
      <w:rPr>
        <w:rFonts w:ascii="Arial" w:hAnsi="Arial"/>
        <w:color w:val="244174" w:themeColor="accent5" w:themeShade="94"/>
        <w:sz w:val="22"/>
      </w:rPr>
      <w:tblPr/>
      <w:tcPr>
        <w:shd w:val="clear" w:color="FFFFFF" w:fill="D8E2F3"/>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1"/>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FFFFFF" w:fill="E1EFD8"/>
      </w:tcPr>
    </w:tblStylePr>
    <w:tblStylePr w:type="band1Horz">
      <w:rPr>
        <w:rFonts w:ascii="Arial" w:hAnsi="Arial"/>
        <w:color w:val="244174" w:themeColor="accent5" w:themeShade="94"/>
        <w:sz w:val="22"/>
      </w:rPr>
      <w:tblPr/>
      <w:tcPr>
        <w:shd w:val="clear" w:color="FFFFFF" w:fill="E1EFD8"/>
      </w:tcPr>
    </w:tblStylePr>
    <w:tblStylePr w:type="band2Horz">
      <w:rPr>
        <w:rFonts w:ascii="Arial" w:hAnsi="Arial"/>
        <w:color w:val="244174" w:themeColor="accent5" w:themeShade="94"/>
        <w:sz w:val="22"/>
      </w:rPr>
    </w:tblStylePr>
  </w:style>
  <w:style w:type="table" w:customStyle="1" w:styleId="GridTable7Colorful-Accent1">
    <w:name w:val="Grid Table 7 Colorful - Accent 1"/>
    <w:basedOn w:val="a1"/>
    <w:uiPriority w:val="99"/>
    <w:qFormat/>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fill="FFFFFF"/>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fill="FFFFFF"/>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FFFFFF"/>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FFFFFF"/>
      </w:tcPr>
    </w:tblStylePr>
    <w:tblStylePr w:type="band1Vert">
      <w:tblPr/>
      <w:tcPr>
        <w:shd w:val="clear" w:color="FFFFFF" w:fill="DDEAF6"/>
      </w:tcPr>
    </w:tblStylePr>
    <w:tblStylePr w:type="band1Horz">
      <w:rPr>
        <w:rFonts w:ascii="Arial" w:hAnsi="Arial"/>
        <w:color w:val="ACCCEA" w:themeColor="accent1" w:themeTint="80"/>
        <w:sz w:val="22"/>
      </w:rPr>
      <w:tblPr/>
      <w:tcPr>
        <w:shd w:val="clear" w:color="FFFFFF" w:fill="DDEAF6"/>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1"/>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fill="FFFFFF"/>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fill="FFFFFF"/>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FFFFFF"/>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FFFFFF"/>
      </w:tcPr>
    </w:tblStylePr>
    <w:tblStylePr w:type="band1Vert">
      <w:tblPr/>
      <w:tcPr>
        <w:shd w:val="clear" w:color="FFFFFF" w:fill="FBE5D6"/>
      </w:tcPr>
    </w:tblStylePr>
    <w:tblStylePr w:type="band1Horz">
      <w:rPr>
        <w:rFonts w:ascii="Arial" w:hAnsi="Arial"/>
        <w:color w:val="F4B285" w:themeColor="accent2" w:themeTint="96"/>
        <w:sz w:val="22"/>
      </w:rPr>
      <w:tblPr/>
      <w:tcPr>
        <w:shd w:val="clear" w:color="FFFFFF" w:fill="FBE5D6"/>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fill="FFFFFF"/>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fill="FFFFFF"/>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FFFFFF"/>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FFFFFF"/>
      </w:tcPr>
    </w:tblStylePr>
    <w:tblStylePr w:type="band1Vert">
      <w:tblPr/>
      <w:tcPr>
        <w:shd w:val="clear" w:color="FFFFFF" w:fill="ECECEC"/>
      </w:tcPr>
    </w:tblStylePr>
    <w:tblStylePr w:type="band1Horz">
      <w:rPr>
        <w:rFonts w:ascii="Arial" w:hAnsi="Arial"/>
        <w:color w:val="A5A5A5" w:themeColor="accent3"/>
        <w:sz w:val="22"/>
      </w:rPr>
      <w:tblPr/>
      <w:tcPr>
        <w:shd w:val="clear" w:color="FFFFFF" w:fill="ECECEC"/>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fill="FFFFFF"/>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fill="FFFFFF"/>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FFFFFF"/>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FFFFFF"/>
      </w:tcPr>
    </w:tblStylePr>
    <w:tblStylePr w:type="band1Vert">
      <w:tblPr/>
      <w:tcPr>
        <w:shd w:val="clear" w:color="FFFFFF" w:fill="FFF2CB"/>
      </w:tcPr>
    </w:tblStylePr>
    <w:tblStylePr w:type="band1Horz">
      <w:rPr>
        <w:rFonts w:ascii="Arial" w:hAnsi="Arial"/>
        <w:color w:val="FFD966" w:themeColor="accent4" w:themeTint="99"/>
        <w:sz w:val="22"/>
      </w:rPr>
      <w:tblPr/>
      <w:tcPr>
        <w:shd w:val="clear" w:color="FFFFFF" w:fill="FFF2CB"/>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fill="FFFFFF"/>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fill="FFFFFF"/>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FFFFFF"/>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FFFFFF"/>
      </w:tcPr>
    </w:tblStylePr>
    <w:tblStylePr w:type="band1Vert">
      <w:tblPr/>
      <w:tcPr>
        <w:shd w:val="clear" w:color="FFFFFF" w:fill="D8E2F3"/>
      </w:tcPr>
    </w:tblStylePr>
    <w:tblStylePr w:type="band1Horz">
      <w:rPr>
        <w:rFonts w:ascii="Arial" w:hAnsi="Arial"/>
        <w:color w:val="244174" w:themeColor="accent5" w:themeShade="94"/>
        <w:sz w:val="22"/>
      </w:rPr>
      <w:tblPr/>
      <w:tcPr>
        <w:shd w:val="clear" w:color="FFFFFF" w:fill="D8E2F3"/>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1"/>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fill="FFFFFF"/>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fill="FFFFFF"/>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FFFFFF"/>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FFFFFF"/>
      </w:tcPr>
    </w:tblStylePr>
    <w:tblStylePr w:type="band1Vert">
      <w:tblPr/>
      <w:tcPr>
        <w:shd w:val="clear" w:color="FFFFFF" w:fill="E1EFD8"/>
      </w:tcPr>
    </w:tblStylePr>
    <w:tblStylePr w:type="band1Horz">
      <w:rPr>
        <w:rFonts w:ascii="Arial" w:hAnsi="Arial"/>
        <w:color w:val="406429" w:themeColor="accent6" w:themeShade="94"/>
        <w:sz w:val="22"/>
      </w:rPr>
      <w:tblPr/>
      <w:tcPr>
        <w:shd w:val="clear" w:color="FFFFFF" w:fill="E1EFD8"/>
      </w:tcPr>
    </w:tblStylePr>
    <w:tblStylePr w:type="band2Horz">
      <w:rPr>
        <w:rFonts w:ascii="Arial" w:hAnsi="Arial"/>
        <w:color w:val="406429" w:themeColor="accent6" w:themeShade="94"/>
        <w:sz w:val="22"/>
      </w:r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FFFFFF" w:fill="D5E5F4"/>
      </w:tcPr>
    </w:tblStylePr>
    <w:tblStylePr w:type="band1Horz">
      <w:tblPr/>
      <w:tcPr>
        <w:shd w:val="clear" w:color="FFFFFF" w:fill="D5E5F4"/>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FFFFF" w:fill="FADECB"/>
      </w:tcPr>
    </w:tblStylePr>
    <w:tblStylePr w:type="band1Horz">
      <w:tblPr/>
      <w:tcPr>
        <w:shd w:val="clear" w:color="FFFFFF" w:fill="FADECB"/>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FFFFFF" w:fill="E8E8E8"/>
      </w:tcPr>
    </w:tblStylePr>
    <w:tblStylePr w:type="band1Horz">
      <w:tblPr/>
      <w:tcPr>
        <w:shd w:val="clear" w:color="FFFFFF" w:fill="E8E8E8"/>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FFFF" w:fill="FFEFBF"/>
      </w:tcPr>
    </w:tblStylePr>
    <w:tblStylePr w:type="band1Horz">
      <w:tblPr/>
      <w:tcPr>
        <w:shd w:val="clear" w:color="FFFFFF" w:fill="FFEFBF"/>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FFFFFF" w:fill="CFDBF0"/>
      </w:tcPr>
    </w:tblStylePr>
    <w:tblStylePr w:type="band1Horz">
      <w:tblPr/>
      <w:tcPr>
        <w:shd w:val="clear" w:color="FFFFFF" w:fill="CFDBF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FFFFF" w:fill="DAEBCF"/>
      </w:tcPr>
    </w:tblStylePr>
    <w:tblStylePr w:type="band1Horz">
      <w:tblPr/>
      <w:tcPr>
        <w:shd w:val="clear" w:color="FFFFFF" w:fill="DAEBCF"/>
      </w:tcPr>
    </w:tblStylePr>
  </w:style>
  <w:style w:type="table" w:customStyle="1" w:styleId="ListTable2-Accent1">
    <w:name w:val="List Table 2 - Accent 1"/>
    <w:basedOn w:val="a1"/>
    <w:uiPriority w:val="99"/>
    <w:qFormat/>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5E5F4"/>
      </w:tcPr>
    </w:tblStylePr>
    <w:tblStylePr w:type="band1Horz">
      <w:rPr>
        <w:rFonts w:ascii="Arial" w:hAnsi="Arial"/>
        <w:color w:val="404040"/>
        <w:sz w:val="22"/>
      </w:rPr>
      <w:tblPr/>
      <w:tcPr>
        <w:shd w:val="clear" w:color="FFFFFF" w:fill="D5E5F4"/>
      </w:tcPr>
    </w:tblStylePr>
  </w:style>
  <w:style w:type="table" w:customStyle="1" w:styleId="ListTable2-Accent2">
    <w:name w:val="List Table 2 - Accent 2"/>
    <w:basedOn w:val="a1"/>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ADECB"/>
      </w:tcPr>
    </w:tblStylePr>
    <w:tblStylePr w:type="band1Horz">
      <w:rPr>
        <w:rFonts w:ascii="Arial" w:hAnsi="Arial"/>
        <w:color w:val="404040"/>
        <w:sz w:val="22"/>
      </w:rPr>
      <w:tblPr/>
      <w:tcPr>
        <w:shd w:val="clear" w:color="FFFFFF" w:fill="FADECB"/>
      </w:tcPr>
    </w:tblStylePr>
  </w:style>
  <w:style w:type="table" w:customStyle="1" w:styleId="ListTable2-Accent3">
    <w:name w:val="List Table 2 - Accent 3"/>
    <w:basedOn w:val="a1"/>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8E8E8"/>
      </w:tcPr>
    </w:tblStylePr>
    <w:tblStylePr w:type="band1Horz">
      <w:rPr>
        <w:rFonts w:ascii="Arial" w:hAnsi="Arial"/>
        <w:color w:val="404040"/>
        <w:sz w:val="22"/>
      </w:rPr>
      <w:tblPr/>
      <w:tcPr>
        <w:shd w:val="clear" w:color="FFFFFF" w:fill="E8E8E8"/>
      </w:tcPr>
    </w:tblStylePr>
  </w:style>
  <w:style w:type="table" w:customStyle="1" w:styleId="ListTable2-Accent4">
    <w:name w:val="List Table 2 - Accent 4"/>
    <w:basedOn w:val="a1"/>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FEFBF"/>
      </w:tcPr>
    </w:tblStylePr>
    <w:tblStylePr w:type="band1Horz">
      <w:rPr>
        <w:rFonts w:ascii="Arial" w:hAnsi="Arial"/>
        <w:color w:val="404040"/>
        <w:sz w:val="22"/>
      </w:rPr>
      <w:tblPr/>
      <w:tcPr>
        <w:shd w:val="clear" w:color="FFFFFF" w:fill="FFEFBF"/>
      </w:tcPr>
    </w:tblStylePr>
  </w:style>
  <w:style w:type="table" w:customStyle="1" w:styleId="ListTable2-Accent5">
    <w:name w:val="List Table 2 - Accent 5"/>
    <w:basedOn w:val="a1"/>
    <w:uiPriority w:val="99"/>
    <w:qFormat/>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CFDBF0"/>
      </w:tcPr>
    </w:tblStylePr>
    <w:tblStylePr w:type="band1Horz">
      <w:rPr>
        <w:rFonts w:ascii="Arial" w:hAnsi="Arial"/>
        <w:color w:val="404040"/>
        <w:sz w:val="22"/>
      </w:rPr>
      <w:tblPr/>
      <w:tcPr>
        <w:shd w:val="clear" w:color="FFFFFF" w:fill="CFDBF0"/>
      </w:tcPr>
    </w:tblStylePr>
  </w:style>
  <w:style w:type="table" w:customStyle="1" w:styleId="ListTable2-Accent6">
    <w:name w:val="List Table 2 - Accent 6"/>
    <w:basedOn w:val="a1"/>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AEBCF"/>
      </w:tcPr>
    </w:tblStylePr>
    <w:tblStylePr w:type="band1Horz">
      <w:rPr>
        <w:rFonts w:ascii="Arial" w:hAnsi="Arial"/>
        <w:color w:val="404040"/>
        <w:sz w:val="22"/>
      </w:rPr>
      <w:tblPr/>
      <w:tcPr>
        <w:shd w:val="clear" w:color="FFFFFF" w:fill="DAEBCF"/>
      </w:tcPr>
    </w:tblStylePr>
  </w:style>
  <w:style w:type="table" w:customStyle="1" w:styleId="ListTable3-Accent1">
    <w:name w:val="List Table 3 - Accent 1"/>
    <w:basedOn w:val="a1"/>
    <w:uiPriority w:val="99"/>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FFFFFF"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FFFFF"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FFFFFF"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FFFF"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FFFFFF" w:fill="8DA9D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FFFFFF"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
    <w:name w:val="List Table 4 - Accent 1"/>
    <w:basedOn w:val="a1"/>
    <w:uiPriority w:val="9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FFFFFF"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5E5F4"/>
      </w:tcPr>
    </w:tblStylePr>
    <w:tblStylePr w:type="band1Horz">
      <w:rPr>
        <w:rFonts w:ascii="Arial" w:hAnsi="Arial"/>
        <w:color w:val="404040"/>
        <w:sz w:val="22"/>
      </w:rPr>
      <w:tblPr/>
      <w:tcPr>
        <w:shd w:val="clear" w:color="FFFFFF" w:fill="D5E5F4"/>
      </w:tcPr>
    </w:tblStylePr>
  </w:style>
  <w:style w:type="table" w:customStyle="1" w:styleId="ListTable4-Accent2">
    <w:name w:val="List Table 4 - Accent 2"/>
    <w:basedOn w:val="a1"/>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FFFFFF"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ADECB"/>
      </w:tcPr>
    </w:tblStylePr>
    <w:tblStylePr w:type="band1Horz">
      <w:rPr>
        <w:rFonts w:ascii="Arial" w:hAnsi="Arial"/>
        <w:color w:val="404040"/>
        <w:sz w:val="22"/>
      </w:rPr>
      <w:tblPr/>
      <w:tcPr>
        <w:shd w:val="clear" w:color="FFFFFF" w:fill="FADECB"/>
      </w:tcPr>
    </w:tblStylePr>
  </w:style>
  <w:style w:type="table" w:customStyle="1" w:styleId="ListTable4-Accent3">
    <w:name w:val="List Table 4 - Accent 3"/>
    <w:basedOn w:val="a1"/>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FFFFFF"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8E8E8"/>
      </w:tcPr>
    </w:tblStylePr>
    <w:tblStylePr w:type="band1Horz">
      <w:rPr>
        <w:rFonts w:ascii="Arial" w:hAnsi="Arial"/>
        <w:color w:val="404040"/>
        <w:sz w:val="22"/>
      </w:rPr>
      <w:tblPr/>
      <w:tcPr>
        <w:shd w:val="clear" w:color="FFFFFF" w:fill="E8E8E8"/>
      </w:tcPr>
    </w:tblStylePr>
  </w:style>
  <w:style w:type="table" w:customStyle="1" w:styleId="ListTable4-Accent4">
    <w:name w:val="List Table 4 - Accent 4"/>
    <w:basedOn w:val="a1"/>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FFFF"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FEFBF"/>
      </w:tcPr>
    </w:tblStylePr>
    <w:tblStylePr w:type="band1Horz">
      <w:rPr>
        <w:rFonts w:ascii="Arial" w:hAnsi="Arial"/>
        <w:color w:val="404040"/>
        <w:sz w:val="22"/>
      </w:rPr>
      <w:tblPr/>
      <w:tcPr>
        <w:shd w:val="clear" w:color="FFFFFF" w:fill="FFEFBF"/>
      </w:tcPr>
    </w:tblStylePr>
  </w:style>
  <w:style w:type="table" w:customStyle="1" w:styleId="ListTable4-Accent5">
    <w:name w:val="List Table 4 - Accent 5"/>
    <w:basedOn w:val="a1"/>
    <w:uiPriority w:val="9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FFFFFF"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FDBF0"/>
      </w:tcPr>
    </w:tblStylePr>
    <w:tblStylePr w:type="band1Horz">
      <w:rPr>
        <w:rFonts w:ascii="Arial" w:hAnsi="Arial"/>
        <w:color w:val="404040"/>
        <w:sz w:val="22"/>
      </w:rPr>
      <w:tblPr/>
      <w:tcPr>
        <w:shd w:val="clear" w:color="FFFFFF" w:fill="CFDBF0"/>
      </w:tcPr>
    </w:tblStylePr>
  </w:style>
  <w:style w:type="table" w:customStyle="1" w:styleId="ListTable4-Accent6">
    <w:name w:val="List Table 4 - Accent 6"/>
    <w:basedOn w:val="a1"/>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FFFFFF"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BCF"/>
      </w:tcPr>
    </w:tblStylePr>
    <w:tblStylePr w:type="band1Horz">
      <w:rPr>
        <w:rFonts w:ascii="Arial" w:hAnsi="Arial"/>
        <w:color w:val="404040"/>
        <w:sz w:val="22"/>
      </w:rPr>
      <w:tblPr/>
      <w:tcPr>
        <w:shd w:val="clear" w:color="FFFFFF" w:fill="DAEBCF"/>
      </w:tcPr>
    </w:tblStylePr>
  </w:style>
  <w:style w:type="table" w:customStyle="1" w:styleId="ListTable5Dark-Accent1">
    <w:name w:val="List Table 5 Dark - Accent 1"/>
    <w:basedOn w:val="a1"/>
    <w:uiPriority w:val="99"/>
    <w:qFormat/>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FFFFFF" w:fill="5B9BD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FFFFFF" w:fill="5B9BD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5B9BD5"/>
      </w:tcPr>
    </w:tblStylePr>
    <w:tblStylePr w:type="band2Horz">
      <w:tblPr/>
      <w:tcPr>
        <w:tcBorders>
          <w:top w:val="single" w:sz="4" w:space="0" w:color="FFFFFF" w:themeColor="light1"/>
          <w:bottom w:val="single" w:sz="4" w:space="0" w:color="FFFFFF" w:themeColor="light1"/>
        </w:tcBorders>
        <w:shd w:val="clear" w:color="FFFFFF" w:fill="5B9BD5"/>
      </w:tcPr>
    </w:tblStylePr>
  </w:style>
  <w:style w:type="table" w:customStyle="1" w:styleId="ListTable5Dark-Accent2">
    <w:name w:val="List Table 5 Dark - Accent 2"/>
    <w:basedOn w:val="a1"/>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FFFFF" w:fill="F4B184"/>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FFFFF" w:fill="F4B184"/>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4B184"/>
      </w:tcPr>
    </w:tblStylePr>
    <w:tblStylePr w:type="band2Horz">
      <w:tblPr/>
      <w:tcPr>
        <w:tcBorders>
          <w:top w:val="single" w:sz="4" w:space="0" w:color="FFFFFF" w:themeColor="light1"/>
          <w:bottom w:val="single" w:sz="4" w:space="0" w:color="FFFFFF" w:themeColor="light1"/>
        </w:tcBorders>
        <w:shd w:val="clear" w:color="FFFFFF" w:fill="F4B184"/>
      </w:tcPr>
    </w:tblStylePr>
  </w:style>
  <w:style w:type="table" w:customStyle="1" w:styleId="ListTable5Dark-Accent3">
    <w:name w:val="List Table 5 Dark - Accent 3"/>
    <w:basedOn w:val="a1"/>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FFFFFF" w:fill="C9C9C9"/>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FFFFFF" w:fill="C9C9C9"/>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9C9C9"/>
      </w:tcPr>
    </w:tblStylePr>
    <w:tblStylePr w:type="band2Horz">
      <w:tblPr/>
      <w:tcPr>
        <w:tcBorders>
          <w:top w:val="single" w:sz="4" w:space="0" w:color="FFFFFF" w:themeColor="light1"/>
          <w:bottom w:val="single" w:sz="4" w:space="0" w:color="FFFFFF" w:themeColor="light1"/>
        </w:tcBorders>
        <w:shd w:val="clear" w:color="FFFFFF" w:fill="C9C9C9"/>
      </w:tcPr>
    </w:tblStylePr>
  </w:style>
  <w:style w:type="table" w:customStyle="1" w:styleId="ListTable5Dark-Accent4">
    <w:name w:val="List Table 5 Dark - Accent 4"/>
    <w:basedOn w:val="a1"/>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FFFF" w:fill="FFD86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FFFF" w:fill="FFD86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FD865"/>
      </w:tcPr>
    </w:tblStylePr>
    <w:tblStylePr w:type="band2Horz">
      <w:tblPr/>
      <w:tcPr>
        <w:tcBorders>
          <w:top w:val="single" w:sz="4" w:space="0" w:color="FFFFFF" w:themeColor="light1"/>
          <w:bottom w:val="single" w:sz="4" w:space="0" w:color="FFFFFF" w:themeColor="light1"/>
        </w:tcBorders>
        <w:shd w:val="clear" w:color="FFFFFF" w:fill="FFD865"/>
      </w:tcPr>
    </w:tblStylePr>
  </w:style>
  <w:style w:type="table" w:customStyle="1" w:styleId="ListTable5Dark-Accent5">
    <w:name w:val="List Table 5 Dark - Accent 5"/>
    <w:basedOn w:val="a1"/>
    <w:uiPriority w:val="99"/>
    <w:qFormat/>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FFFFFF" w:fill="8DA9DB"/>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FFFFFF" w:fill="8DA9DB"/>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8DA9DB"/>
      </w:tcPr>
    </w:tblStylePr>
    <w:tblStylePr w:type="band2Horz">
      <w:tblPr/>
      <w:tcPr>
        <w:tcBorders>
          <w:top w:val="single" w:sz="4" w:space="0" w:color="FFFFFF" w:themeColor="light1"/>
          <w:bottom w:val="single" w:sz="4" w:space="0" w:color="FFFFFF" w:themeColor="light1"/>
        </w:tcBorders>
        <w:shd w:val="clear" w:color="FFFFFF" w:fill="8DA9DB"/>
      </w:tcPr>
    </w:tblStylePr>
  </w:style>
  <w:style w:type="table" w:customStyle="1" w:styleId="ListTable5Dark-Accent6">
    <w:name w:val="List Table 5 Dark - Accent 6"/>
    <w:basedOn w:val="a1"/>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FFFFFF" w:fill="A9D08E"/>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FFFFFF" w:fill="A9D08E"/>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A9D08E"/>
      </w:tcPr>
    </w:tblStylePr>
    <w:tblStylePr w:type="band2Horz">
      <w:tblPr/>
      <w:tcPr>
        <w:tcBorders>
          <w:top w:val="single" w:sz="4" w:space="0" w:color="FFFFFF" w:themeColor="light1"/>
          <w:bottom w:val="single" w:sz="4" w:space="0" w:color="FFFFFF" w:themeColor="light1"/>
        </w:tcBorders>
        <w:shd w:val="clear" w:color="FFFFFF" w:fill="A9D08E"/>
      </w:tcPr>
    </w:tblStylePr>
  </w:style>
  <w:style w:type="table" w:customStyle="1" w:styleId="ListTable6Colorful-Accent1">
    <w:name w:val="List Table 6 Colorful - Accent 1"/>
    <w:basedOn w:val="a1"/>
    <w:uiPriority w:val="99"/>
    <w:qFormat/>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FFFFFF" w:fill="D5E5F4"/>
      </w:tcPr>
    </w:tblStylePr>
    <w:tblStylePr w:type="band1Horz">
      <w:rPr>
        <w:rFonts w:ascii="Arial" w:hAnsi="Arial"/>
        <w:color w:val="245A8C" w:themeColor="accent1" w:themeShade="94"/>
        <w:sz w:val="22"/>
      </w:rPr>
      <w:tblPr/>
      <w:tcPr>
        <w:shd w:val="clear" w:color="FFFFFF" w:fill="D5E5F4"/>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1"/>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FFFFF" w:fill="FADECB"/>
      </w:tcPr>
    </w:tblStylePr>
    <w:tblStylePr w:type="band1Horz">
      <w:rPr>
        <w:rFonts w:ascii="Arial" w:hAnsi="Arial"/>
        <w:color w:val="F4B285" w:themeColor="accent2" w:themeTint="96"/>
        <w:sz w:val="22"/>
      </w:rPr>
      <w:tblPr/>
      <w:tcPr>
        <w:shd w:val="clear" w:color="FFFFFF" w:fill="FADECB"/>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FFFFFF" w:fill="E8E8E8"/>
      </w:tcPr>
    </w:tblStylePr>
    <w:tblStylePr w:type="band1Horz">
      <w:rPr>
        <w:rFonts w:ascii="Arial" w:hAnsi="Arial"/>
        <w:color w:val="C9C9C9" w:themeColor="accent3" w:themeTint="99"/>
        <w:sz w:val="22"/>
      </w:rPr>
      <w:tblPr/>
      <w:tcPr>
        <w:shd w:val="clear" w:color="FFFFFF" w:fill="E8E8E8"/>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FFF" w:fill="FFEFBF"/>
      </w:tcPr>
    </w:tblStylePr>
    <w:tblStylePr w:type="band1Horz">
      <w:rPr>
        <w:rFonts w:ascii="Arial" w:hAnsi="Arial"/>
        <w:color w:val="FFD966" w:themeColor="accent4" w:themeTint="99"/>
        <w:sz w:val="22"/>
      </w:rPr>
      <w:tblPr/>
      <w:tcPr>
        <w:shd w:val="clear" w:color="FFFFFF" w:fill="FFEFBF"/>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qFormat/>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FFFFFF" w:fill="CFDBF0"/>
      </w:tcPr>
    </w:tblStylePr>
    <w:tblStylePr w:type="band1Horz">
      <w:rPr>
        <w:rFonts w:ascii="Arial" w:hAnsi="Arial"/>
        <w:color w:val="8EAADB" w:themeColor="accent5" w:themeTint="99"/>
        <w:sz w:val="22"/>
      </w:rPr>
      <w:tblPr/>
      <w:tcPr>
        <w:shd w:val="clear" w:color="FFFFFF" w:fill="CFDBF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1"/>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FFFFFF" w:fill="DAEBCF"/>
      </w:tcPr>
    </w:tblStylePr>
    <w:tblStylePr w:type="band1Horz">
      <w:rPr>
        <w:rFonts w:ascii="Arial" w:hAnsi="Arial"/>
        <w:color w:val="A8D08D" w:themeColor="accent6" w:themeTint="99"/>
        <w:sz w:val="22"/>
      </w:rPr>
      <w:tblPr/>
      <w:tcPr>
        <w:shd w:val="clear" w:color="FFFFFF" w:fill="DAEBCF"/>
      </w:tcPr>
    </w:tblStylePr>
    <w:tblStylePr w:type="band2Horz">
      <w:rPr>
        <w:rFonts w:ascii="Arial" w:hAnsi="Arial"/>
        <w:color w:val="A8D08D" w:themeColor="accent6" w:themeTint="99"/>
        <w:sz w:val="22"/>
      </w:rPr>
    </w:tblStylePr>
  </w:style>
  <w:style w:type="table" w:customStyle="1" w:styleId="ListTable7Colorful-Accent1">
    <w:name w:val="List Table 7 Colorful - Accent 1"/>
    <w:basedOn w:val="a1"/>
    <w:uiPriority w:val="99"/>
    <w:qFormat/>
    <w:tblPr>
      <w:tblBorders>
        <w:right w:val="single" w:sz="4" w:space="0" w:color="5B9BD5" w:themeColor="accent1"/>
      </w:tblBorders>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fill="FFFFFF"/>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fill="FFFFFF"/>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FFFFFF"/>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FFFFFF"/>
      </w:tcPr>
    </w:tblStylePr>
    <w:tblStylePr w:type="band1Vert">
      <w:tblPr/>
      <w:tcPr>
        <w:shd w:val="clear" w:color="FFFFFF" w:fill="D5E5F4"/>
      </w:tcPr>
    </w:tblStylePr>
    <w:tblStylePr w:type="band1Horz">
      <w:rPr>
        <w:rFonts w:ascii="Arial" w:hAnsi="Arial"/>
        <w:color w:val="245A8C" w:themeColor="accent1" w:themeShade="94"/>
        <w:sz w:val="22"/>
      </w:rPr>
      <w:tblPr/>
      <w:tcPr>
        <w:shd w:val="clear" w:color="FFFFFF" w:fill="D5E5F4"/>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1"/>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fill="FFFFFF"/>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fill="FFFFFF"/>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FFFFFF"/>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FFFFFF"/>
      </w:tcPr>
    </w:tblStylePr>
    <w:tblStylePr w:type="band1Vert">
      <w:tblPr/>
      <w:tcPr>
        <w:shd w:val="clear" w:color="FFFFFF" w:fill="FADECB"/>
      </w:tcPr>
    </w:tblStylePr>
    <w:tblStylePr w:type="band1Horz">
      <w:rPr>
        <w:rFonts w:ascii="Arial" w:hAnsi="Arial"/>
        <w:color w:val="F4B285" w:themeColor="accent2" w:themeTint="96"/>
        <w:sz w:val="22"/>
      </w:rPr>
      <w:tblPr/>
      <w:tcPr>
        <w:shd w:val="clear" w:color="FFFFFF" w:fill="FADECB"/>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fill="FFFFFF"/>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fill="FFFFFF"/>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FFFFFF"/>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FFFFFF"/>
      </w:tcPr>
    </w:tblStylePr>
    <w:tblStylePr w:type="band1Vert">
      <w:tblPr/>
      <w:tcPr>
        <w:shd w:val="clear" w:color="FFFFFF" w:fill="E8E8E8"/>
      </w:tcPr>
    </w:tblStylePr>
    <w:tblStylePr w:type="band1Horz">
      <w:rPr>
        <w:rFonts w:ascii="Arial" w:hAnsi="Arial"/>
        <w:color w:val="C9C9C9" w:themeColor="accent3" w:themeTint="99"/>
        <w:sz w:val="22"/>
      </w:rPr>
      <w:tblPr/>
      <w:tcPr>
        <w:shd w:val="clear" w:color="FFFFFF" w:fill="E8E8E8"/>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fill="FFFFFF"/>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fill="FFFFFF"/>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FFFFFF"/>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FFFFFF"/>
      </w:tcPr>
    </w:tblStylePr>
    <w:tblStylePr w:type="band1Vert">
      <w:tblPr/>
      <w:tcPr>
        <w:shd w:val="clear" w:color="FFFFFF" w:fill="FFEFBF"/>
      </w:tcPr>
    </w:tblStylePr>
    <w:tblStylePr w:type="band1Horz">
      <w:rPr>
        <w:rFonts w:ascii="Arial" w:hAnsi="Arial"/>
        <w:color w:val="FFD966" w:themeColor="accent4" w:themeTint="99"/>
        <w:sz w:val="22"/>
      </w:rPr>
      <w:tblPr/>
      <w:tcPr>
        <w:shd w:val="clear" w:color="FFFFFF" w:fill="FFEFBF"/>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fill="FFFFFF"/>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fill="FFFFFF"/>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FFFFFF"/>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FFFFFF"/>
      </w:tcPr>
    </w:tblStylePr>
    <w:tblStylePr w:type="band1Vert">
      <w:tblPr/>
      <w:tcPr>
        <w:shd w:val="clear" w:color="FFFFFF" w:fill="CFDBF0"/>
      </w:tcPr>
    </w:tblStylePr>
    <w:tblStylePr w:type="band1Horz">
      <w:rPr>
        <w:rFonts w:ascii="Arial" w:hAnsi="Arial"/>
        <w:color w:val="8EAADB" w:themeColor="accent5" w:themeTint="99"/>
        <w:sz w:val="22"/>
      </w:rPr>
      <w:tblPr/>
      <w:tcPr>
        <w:shd w:val="clear" w:color="FFFFFF" w:fill="CFDBF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1"/>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fill="FFFFFF"/>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fill="FFFFFF"/>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FFFFFF"/>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FFFFFF"/>
      </w:tcPr>
    </w:tblStylePr>
    <w:tblStylePr w:type="band1Vert">
      <w:tblPr/>
      <w:tcPr>
        <w:shd w:val="clear" w:color="FFFFFF" w:fill="DAEBCF"/>
      </w:tcPr>
    </w:tblStylePr>
    <w:tblStylePr w:type="band1Horz">
      <w:rPr>
        <w:rFonts w:ascii="Arial" w:hAnsi="Arial"/>
        <w:color w:val="A8D08D" w:themeColor="accent6" w:themeTint="99"/>
        <w:sz w:val="22"/>
      </w:rPr>
      <w:tblPr/>
      <w:tcPr>
        <w:shd w:val="clear" w:color="FFFFFF" w:fill="DAEBCF"/>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FFFFFF" w:fill="7F7F7F"/>
      </w:tcPr>
    </w:tblStylePr>
    <w:tblStylePr w:type="lastRow">
      <w:rPr>
        <w:rFonts w:ascii="Arial" w:hAnsi="Arial"/>
        <w:color w:val="F2F2F2"/>
        <w:sz w:val="22"/>
      </w:rPr>
      <w:tblPr/>
      <w:tcPr>
        <w:shd w:val="clear" w:color="FFFFFF" w:fill="7F7F7F"/>
      </w:tcPr>
    </w:tblStylePr>
    <w:tblStylePr w:type="firstCol">
      <w:rPr>
        <w:rFonts w:ascii="Arial" w:hAnsi="Arial"/>
        <w:color w:val="F2F2F2"/>
        <w:sz w:val="22"/>
      </w:rPr>
      <w:tblPr/>
      <w:tcPr>
        <w:shd w:val="clear" w:color="FFFFFF" w:fill="7F7F7F"/>
      </w:tcPr>
    </w:tblStylePr>
    <w:tblStylePr w:type="lastCol">
      <w:rPr>
        <w:rFonts w:ascii="Arial" w:hAnsi="Arial"/>
        <w:color w:val="F2F2F2"/>
        <w:sz w:val="22"/>
      </w:rPr>
      <w:tblPr/>
      <w:tcPr>
        <w:shd w:val="clear" w:color="FFFFFF" w:fill="7F7F7F"/>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FFFFFF" w:fill="68A2D8"/>
      </w:tcPr>
    </w:tblStylePr>
    <w:tblStylePr w:type="lastRow">
      <w:rPr>
        <w:rFonts w:ascii="Arial" w:hAnsi="Arial"/>
        <w:color w:val="F2F2F2"/>
        <w:sz w:val="22"/>
      </w:rPr>
      <w:tblPr/>
      <w:tcPr>
        <w:shd w:val="clear" w:color="FFFFFF" w:fill="68A2D8"/>
      </w:tcPr>
    </w:tblStylePr>
    <w:tblStylePr w:type="firstCol">
      <w:rPr>
        <w:rFonts w:ascii="Arial" w:hAnsi="Arial"/>
        <w:color w:val="F2F2F2"/>
        <w:sz w:val="22"/>
      </w:rPr>
      <w:tblPr/>
      <w:tcPr>
        <w:shd w:val="clear" w:color="FFFFFF" w:fill="68A2D8"/>
      </w:tcPr>
    </w:tblStylePr>
    <w:tblStylePr w:type="lastCol">
      <w:rPr>
        <w:rFonts w:ascii="Arial" w:hAnsi="Arial"/>
        <w:color w:val="F2F2F2"/>
        <w:sz w:val="22"/>
      </w:rPr>
      <w:tblPr/>
      <w:tcPr>
        <w:shd w:val="clear" w:color="FFFFFF" w:fill="68A2D8"/>
      </w:tcPr>
    </w:tblStylePr>
    <w:tblStylePr w:type="band1Vert">
      <w:rPr>
        <w:rFonts w:ascii="Arial" w:hAnsi="Arial"/>
        <w:color w:val="404040"/>
        <w:sz w:val="22"/>
      </w:rPr>
    </w:tblStylePr>
    <w:tblStylePr w:type="band2Vert">
      <w:rPr>
        <w:rFonts w:ascii="Arial" w:hAnsi="Arial"/>
        <w:color w:val="404040"/>
        <w:sz w:val="22"/>
      </w:rPr>
      <w:tblPr/>
      <w:tcPr>
        <w:shd w:val="clear" w:color="FFFFFF" w:fill="CBDFF1"/>
      </w:tcPr>
    </w:tblStylePr>
    <w:tblStylePr w:type="band1Horz">
      <w:rPr>
        <w:rFonts w:ascii="Arial" w:hAnsi="Arial"/>
        <w:color w:val="404040"/>
        <w:sz w:val="22"/>
      </w:rPr>
    </w:tblStylePr>
    <w:tblStylePr w:type="band2Horz">
      <w:rPr>
        <w:rFonts w:ascii="Arial" w:hAnsi="Arial"/>
        <w:color w:val="404040"/>
        <w:sz w:val="22"/>
      </w:rPr>
      <w:tblPr/>
      <w:tcPr>
        <w:shd w:val="clear" w:color="FFFFFF" w:fill="CBDFF1"/>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FFFFFF" w:fill="F4B184"/>
      </w:tcPr>
    </w:tblStylePr>
    <w:tblStylePr w:type="lastRow">
      <w:rPr>
        <w:rFonts w:ascii="Arial" w:hAnsi="Arial"/>
        <w:color w:val="F2F2F2"/>
        <w:sz w:val="22"/>
      </w:rPr>
      <w:tblPr/>
      <w:tcPr>
        <w:shd w:val="clear" w:color="FFFFFF" w:fill="F4B184"/>
      </w:tcPr>
    </w:tblStylePr>
    <w:tblStylePr w:type="firstCol">
      <w:rPr>
        <w:rFonts w:ascii="Arial" w:hAnsi="Arial"/>
        <w:color w:val="F2F2F2"/>
        <w:sz w:val="22"/>
      </w:rPr>
      <w:tblPr/>
      <w:tcPr>
        <w:shd w:val="clear" w:color="FFFFFF" w:fill="F4B184"/>
      </w:tcPr>
    </w:tblStylePr>
    <w:tblStylePr w:type="lastCol">
      <w:rPr>
        <w:rFonts w:ascii="Arial" w:hAnsi="Arial"/>
        <w:color w:val="F2F2F2"/>
        <w:sz w:val="22"/>
      </w:rPr>
      <w:tblPr/>
      <w:tcPr>
        <w:shd w:val="clear" w:color="FFFFFF" w:fill="F4B184"/>
      </w:tcPr>
    </w:tblStylePr>
    <w:tblStylePr w:type="band1Vert">
      <w:rPr>
        <w:rFonts w:ascii="Arial" w:hAnsi="Arial"/>
        <w:color w:val="404040"/>
        <w:sz w:val="22"/>
      </w:rPr>
    </w:tblStylePr>
    <w:tblStylePr w:type="band2Vert">
      <w:rPr>
        <w:rFonts w:ascii="Arial" w:hAnsi="Arial"/>
        <w:color w:val="404040"/>
        <w:sz w:val="22"/>
      </w:rPr>
      <w:tblPr/>
      <w:tcPr>
        <w:shd w:val="clear" w:color="FFFFFF" w:fill="FBE5D6"/>
      </w:tcPr>
    </w:tblStylePr>
    <w:tblStylePr w:type="band1Horz">
      <w:rPr>
        <w:rFonts w:ascii="Arial" w:hAnsi="Arial"/>
        <w:color w:val="404040"/>
        <w:sz w:val="22"/>
      </w:rPr>
    </w:tblStylePr>
    <w:tblStylePr w:type="band2Horz">
      <w:rPr>
        <w:rFonts w:ascii="Arial" w:hAnsi="Arial"/>
        <w:color w:val="404040"/>
        <w:sz w:val="22"/>
      </w:rPr>
      <w:tblPr/>
      <w:tcPr>
        <w:shd w:val="clear" w:color="FFFFFF" w:fill="FBE5D6"/>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FFFFFF" w:fill="A5A5A5"/>
      </w:tcPr>
    </w:tblStylePr>
    <w:tblStylePr w:type="lastRow">
      <w:rPr>
        <w:rFonts w:ascii="Arial" w:hAnsi="Arial"/>
        <w:color w:val="F2F2F2"/>
        <w:sz w:val="22"/>
      </w:rPr>
      <w:tblPr/>
      <w:tcPr>
        <w:shd w:val="clear" w:color="FFFFFF" w:fill="A5A5A5"/>
      </w:tcPr>
    </w:tblStylePr>
    <w:tblStylePr w:type="firstCol">
      <w:rPr>
        <w:rFonts w:ascii="Arial" w:hAnsi="Arial"/>
        <w:color w:val="F2F2F2"/>
        <w:sz w:val="22"/>
      </w:rPr>
      <w:tblPr/>
      <w:tcPr>
        <w:shd w:val="clear" w:color="FFFFFF" w:fill="A5A5A5"/>
      </w:tcPr>
    </w:tblStylePr>
    <w:tblStylePr w:type="lastCol">
      <w:rPr>
        <w:rFonts w:ascii="Arial" w:hAnsi="Arial"/>
        <w:color w:val="F2F2F2"/>
        <w:sz w:val="22"/>
      </w:rPr>
      <w:tblPr/>
      <w:tcPr>
        <w:shd w:val="clear" w:color="FFFFFF" w:fill="A5A5A5"/>
      </w:tcPr>
    </w:tblStylePr>
    <w:tblStylePr w:type="band1Vert">
      <w:rPr>
        <w:rFonts w:ascii="Arial" w:hAnsi="Arial"/>
        <w:color w:val="404040"/>
        <w:sz w:val="22"/>
      </w:rPr>
    </w:tblStylePr>
    <w:tblStylePr w:type="band2Vert">
      <w:rPr>
        <w:rFonts w:ascii="Arial" w:hAnsi="Arial"/>
        <w:color w:val="404040"/>
        <w:sz w:val="22"/>
      </w:rPr>
      <w:tblPr/>
      <w:tcPr>
        <w:shd w:val="clear" w:color="FFFFFF" w:fill="ECECEC"/>
      </w:tcPr>
    </w:tblStylePr>
    <w:tblStylePr w:type="band1Horz">
      <w:rPr>
        <w:rFonts w:ascii="Arial" w:hAnsi="Arial"/>
        <w:color w:val="404040"/>
        <w:sz w:val="22"/>
      </w:rPr>
    </w:tblStylePr>
    <w:tblStylePr w:type="band2Horz">
      <w:rPr>
        <w:rFonts w:ascii="Arial" w:hAnsi="Arial"/>
        <w:color w:val="404040"/>
        <w:sz w:val="22"/>
      </w:rPr>
      <w:tblPr/>
      <w:tcPr>
        <w:shd w:val="clear" w:color="FFFFFF" w:fill="ECECEC"/>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FFFFFF" w:fill="FFD865"/>
      </w:tcPr>
    </w:tblStylePr>
    <w:tblStylePr w:type="lastRow">
      <w:rPr>
        <w:rFonts w:ascii="Arial" w:hAnsi="Arial"/>
        <w:color w:val="F2F2F2"/>
        <w:sz w:val="22"/>
      </w:rPr>
      <w:tblPr/>
      <w:tcPr>
        <w:shd w:val="clear" w:color="FFFFFF" w:fill="FFD865"/>
      </w:tcPr>
    </w:tblStylePr>
    <w:tblStylePr w:type="firstCol">
      <w:rPr>
        <w:rFonts w:ascii="Arial" w:hAnsi="Arial"/>
        <w:color w:val="F2F2F2"/>
        <w:sz w:val="22"/>
      </w:rPr>
      <w:tblPr/>
      <w:tcPr>
        <w:shd w:val="clear" w:color="FFFFFF" w:fill="FFD865"/>
      </w:tcPr>
    </w:tblStylePr>
    <w:tblStylePr w:type="lastCol">
      <w:rPr>
        <w:rFonts w:ascii="Arial" w:hAnsi="Arial"/>
        <w:color w:val="F2F2F2"/>
        <w:sz w:val="22"/>
      </w:rPr>
      <w:tblPr/>
      <w:tcPr>
        <w:shd w:val="clear" w:color="FFFFFF" w:fill="FFD865"/>
      </w:tcPr>
    </w:tblStylePr>
    <w:tblStylePr w:type="band1Vert">
      <w:rPr>
        <w:rFonts w:ascii="Arial" w:hAnsi="Arial"/>
        <w:color w:val="404040"/>
        <w:sz w:val="22"/>
      </w:rPr>
    </w:tblStylePr>
    <w:tblStylePr w:type="band2Vert">
      <w:rPr>
        <w:rFonts w:ascii="Arial" w:hAnsi="Arial"/>
        <w:color w:val="404040"/>
        <w:sz w:val="22"/>
      </w:rPr>
      <w:tblPr/>
      <w:tcPr>
        <w:shd w:val="clear" w:color="FFFFFF" w:fill="FFF2CB"/>
      </w:tcPr>
    </w:tblStylePr>
    <w:tblStylePr w:type="band1Horz">
      <w:rPr>
        <w:rFonts w:ascii="Arial" w:hAnsi="Arial"/>
        <w:color w:val="404040"/>
        <w:sz w:val="22"/>
      </w:rPr>
    </w:tblStylePr>
    <w:tblStylePr w:type="band2Horz">
      <w:rPr>
        <w:rFonts w:ascii="Arial" w:hAnsi="Arial"/>
        <w:color w:val="404040"/>
        <w:sz w:val="22"/>
      </w:rPr>
      <w:tblPr/>
      <w:tcPr>
        <w:shd w:val="clear" w:color="FFFFFF" w:fill="FFF2CB"/>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FFFFFF" w:fill="4472C4"/>
      </w:tcPr>
    </w:tblStylePr>
    <w:tblStylePr w:type="lastRow">
      <w:rPr>
        <w:rFonts w:ascii="Arial" w:hAnsi="Arial"/>
        <w:color w:val="F2F2F2"/>
        <w:sz w:val="22"/>
      </w:rPr>
      <w:tblPr/>
      <w:tcPr>
        <w:shd w:val="clear" w:color="FFFFFF" w:fill="4472C4"/>
      </w:tcPr>
    </w:tblStylePr>
    <w:tblStylePr w:type="firstCol">
      <w:rPr>
        <w:rFonts w:ascii="Arial" w:hAnsi="Arial"/>
        <w:color w:val="F2F2F2"/>
        <w:sz w:val="22"/>
      </w:rPr>
      <w:tblPr/>
      <w:tcPr>
        <w:shd w:val="clear" w:color="FFFFFF" w:fill="4472C4"/>
      </w:tcPr>
    </w:tblStylePr>
    <w:tblStylePr w:type="lastCol">
      <w:rPr>
        <w:rFonts w:ascii="Arial" w:hAnsi="Arial"/>
        <w:color w:val="F2F2F2"/>
        <w:sz w:val="22"/>
      </w:rPr>
      <w:tblPr/>
      <w:tcPr>
        <w:shd w:val="clear" w:color="FFFFFF" w:fill="4472C4"/>
      </w:tcPr>
    </w:tblStylePr>
    <w:tblStylePr w:type="band1Vert">
      <w:rPr>
        <w:rFonts w:ascii="Arial" w:hAnsi="Arial"/>
        <w:color w:val="404040"/>
        <w:sz w:val="22"/>
      </w:rPr>
    </w:tblStylePr>
    <w:tblStylePr w:type="band2Vert">
      <w:rPr>
        <w:rFonts w:ascii="Arial" w:hAnsi="Arial"/>
        <w:color w:val="404040"/>
        <w:sz w:val="22"/>
      </w:rPr>
      <w:tblPr/>
      <w:tcPr>
        <w:shd w:val="clear" w:color="FFFFFF" w:fill="D8E2F3"/>
      </w:tcPr>
    </w:tblStylePr>
    <w:tblStylePr w:type="band1Horz">
      <w:rPr>
        <w:rFonts w:ascii="Arial" w:hAnsi="Arial"/>
        <w:color w:val="404040"/>
        <w:sz w:val="22"/>
      </w:rPr>
    </w:tblStylePr>
    <w:tblStylePr w:type="band2Horz">
      <w:rPr>
        <w:rFonts w:ascii="Arial" w:hAnsi="Arial"/>
        <w:color w:val="404040"/>
        <w:sz w:val="22"/>
      </w:rPr>
      <w:tblPr/>
      <w:tcPr>
        <w:shd w:val="clear" w:color="FFFFFF" w:fill="D8E2F3"/>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FFFFFF" w:fill="70AD47"/>
      </w:tcPr>
    </w:tblStylePr>
    <w:tblStylePr w:type="lastRow">
      <w:rPr>
        <w:rFonts w:ascii="Arial" w:hAnsi="Arial"/>
        <w:color w:val="F2F2F2"/>
        <w:sz w:val="22"/>
      </w:rPr>
      <w:tblPr/>
      <w:tcPr>
        <w:shd w:val="clear" w:color="FFFFFF" w:fill="70AD47"/>
      </w:tcPr>
    </w:tblStylePr>
    <w:tblStylePr w:type="firstCol">
      <w:rPr>
        <w:rFonts w:ascii="Arial" w:hAnsi="Arial"/>
        <w:color w:val="F2F2F2"/>
        <w:sz w:val="22"/>
      </w:rPr>
      <w:tblPr/>
      <w:tcPr>
        <w:shd w:val="clear" w:color="FFFFFF" w:fill="70AD47"/>
      </w:tcPr>
    </w:tblStylePr>
    <w:tblStylePr w:type="lastCol">
      <w:rPr>
        <w:rFonts w:ascii="Arial" w:hAnsi="Arial"/>
        <w:color w:val="F2F2F2"/>
        <w:sz w:val="22"/>
      </w:rPr>
      <w:tblPr/>
      <w:tcPr>
        <w:shd w:val="clear" w:color="FFFFFF" w:fill="70AD47"/>
      </w:tcPr>
    </w:tblStylePr>
    <w:tblStylePr w:type="band1Vert">
      <w:rPr>
        <w:rFonts w:ascii="Arial" w:hAnsi="Arial"/>
        <w:color w:val="404040"/>
        <w:sz w:val="22"/>
      </w:rPr>
    </w:tblStylePr>
    <w:tblStylePr w:type="band2Vert">
      <w:rPr>
        <w:rFonts w:ascii="Arial" w:hAnsi="Arial"/>
        <w:color w:val="404040"/>
        <w:sz w:val="22"/>
      </w:rPr>
      <w:tblPr/>
      <w:tcPr>
        <w:shd w:val="clear" w:color="FFFFFF" w:fill="E1EFD8"/>
      </w:tcPr>
    </w:tblStylePr>
    <w:tblStylePr w:type="band1Horz">
      <w:rPr>
        <w:rFonts w:ascii="Arial" w:hAnsi="Arial"/>
        <w:color w:val="404040"/>
        <w:sz w:val="22"/>
      </w:rPr>
    </w:tblStylePr>
    <w:tblStylePr w:type="band2Horz">
      <w:rPr>
        <w:rFonts w:ascii="Arial" w:hAnsi="Arial"/>
        <w:color w:val="404040"/>
        <w:sz w:val="22"/>
      </w:rPr>
      <w:tblPr/>
      <w:tcPr>
        <w:shd w:val="clear" w:color="FFFFFF" w:fill="E1EFD8"/>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FFFFFF" w:fill="7F7F7F"/>
      </w:tcPr>
    </w:tblStylePr>
    <w:tblStylePr w:type="lastRow">
      <w:rPr>
        <w:rFonts w:ascii="Arial" w:hAnsi="Arial"/>
        <w:color w:val="F2F2F2"/>
        <w:sz w:val="22"/>
      </w:rPr>
      <w:tblPr/>
      <w:tcPr>
        <w:shd w:val="clear" w:color="FFFFFF" w:fill="7F7F7F"/>
      </w:tcPr>
    </w:tblStylePr>
    <w:tblStylePr w:type="firstCol">
      <w:rPr>
        <w:rFonts w:ascii="Arial" w:hAnsi="Arial"/>
        <w:color w:val="F2F2F2"/>
        <w:sz w:val="22"/>
      </w:rPr>
      <w:tblPr/>
      <w:tcPr>
        <w:shd w:val="clear" w:color="FFFFFF" w:fill="7F7F7F"/>
      </w:tcPr>
    </w:tblStylePr>
    <w:tblStylePr w:type="lastCol">
      <w:rPr>
        <w:rFonts w:ascii="Arial" w:hAnsi="Arial"/>
        <w:color w:val="F2F2F2"/>
        <w:sz w:val="22"/>
      </w:rPr>
      <w:tblPr/>
      <w:tcPr>
        <w:shd w:val="clear" w:color="FFFFFF" w:fill="7F7F7F"/>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cPr>
    </w:tblStylePr>
  </w:style>
  <w:style w:type="table" w:customStyle="1" w:styleId="BorderedLined-Accent1">
    <w:name w:val="Bordered &amp; Lined - Accent 1"/>
    <w:basedOn w:val="a1"/>
    <w:uiPriority w:val="99"/>
    <w:qFormat/>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FFFFFF" w:fill="68A2D8"/>
      </w:tcPr>
    </w:tblStylePr>
    <w:tblStylePr w:type="lastRow">
      <w:rPr>
        <w:rFonts w:ascii="Arial" w:hAnsi="Arial"/>
        <w:color w:val="F2F2F2"/>
        <w:sz w:val="22"/>
      </w:rPr>
      <w:tblPr/>
      <w:tcPr>
        <w:shd w:val="clear" w:color="FFFFFF" w:fill="68A2D8"/>
      </w:tcPr>
    </w:tblStylePr>
    <w:tblStylePr w:type="firstCol">
      <w:rPr>
        <w:rFonts w:ascii="Arial" w:hAnsi="Arial"/>
        <w:color w:val="F2F2F2"/>
        <w:sz w:val="22"/>
      </w:rPr>
      <w:tblPr/>
      <w:tcPr>
        <w:shd w:val="clear" w:color="FFFFFF" w:fill="68A2D8"/>
      </w:tcPr>
    </w:tblStylePr>
    <w:tblStylePr w:type="lastCol">
      <w:rPr>
        <w:rFonts w:ascii="Arial" w:hAnsi="Arial"/>
        <w:color w:val="F2F2F2"/>
        <w:sz w:val="22"/>
      </w:rPr>
      <w:tblPr/>
      <w:tcPr>
        <w:shd w:val="clear" w:color="FFFFFF" w:fill="68A2D8"/>
      </w:tcPr>
    </w:tblStylePr>
    <w:tblStylePr w:type="band1Vert">
      <w:rPr>
        <w:rFonts w:ascii="Arial" w:hAnsi="Arial"/>
        <w:color w:val="404040"/>
        <w:sz w:val="22"/>
      </w:rPr>
    </w:tblStylePr>
    <w:tblStylePr w:type="band2Vert">
      <w:rPr>
        <w:rFonts w:ascii="Arial" w:hAnsi="Arial"/>
        <w:color w:val="404040"/>
        <w:sz w:val="22"/>
      </w:rPr>
      <w:tblPr/>
      <w:tcPr>
        <w:shd w:val="clear" w:color="FFFFFF" w:fill="CBDFF1"/>
      </w:tcPr>
    </w:tblStylePr>
    <w:tblStylePr w:type="band1Horz">
      <w:rPr>
        <w:rFonts w:ascii="Arial" w:hAnsi="Arial"/>
        <w:color w:val="404040"/>
        <w:sz w:val="22"/>
      </w:rPr>
    </w:tblStylePr>
    <w:tblStylePr w:type="band2Horz">
      <w:rPr>
        <w:rFonts w:ascii="Arial" w:hAnsi="Arial"/>
        <w:color w:val="404040"/>
        <w:sz w:val="22"/>
      </w:rPr>
      <w:tblPr/>
      <w:tcPr>
        <w:shd w:val="clear" w:color="FFFFFF" w:fill="CBDFF1"/>
      </w:tcPr>
    </w:tblStylePr>
  </w:style>
  <w:style w:type="table" w:customStyle="1" w:styleId="BorderedLined-Accent2">
    <w:name w:val="Bordered &amp; Lined - Accent 2"/>
    <w:basedOn w:val="a1"/>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FFFFF" w:fill="F4B184"/>
      </w:tcPr>
    </w:tblStylePr>
    <w:tblStylePr w:type="lastRow">
      <w:rPr>
        <w:rFonts w:ascii="Arial" w:hAnsi="Arial"/>
        <w:color w:val="F2F2F2"/>
        <w:sz w:val="22"/>
      </w:rPr>
      <w:tblPr/>
      <w:tcPr>
        <w:shd w:val="clear" w:color="FFFFFF" w:fill="F4B184"/>
      </w:tcPr>
    </w:tblStylePr>
    <w:tblStylePr w:type="firstCol">
      <w:rPr>
        <w:rFonts w:ascii="Arial" w:hAnsi="Arial"/>
        <w:color w:val="F2F2F2"/>
        <w:sz w:val="22"/>
      </w:rPr>
      <w:tblPr/>
      <w:tcPr>
        <w:shd w:val="clear" w:color="FFFFFF" w:fill="F4B184"/>
      </w:tcPr>
    </w:tblStylePr>
    <w:tblStylePr w:type="lastCol">
      <w:rPr>
        <w:rFonts w:ascii="Arial" w:hAnsi="Arial"/>
        <w:color w:val="F2F2F2"/>
        <w:sz w:val="22"/>
      </w:rPr>
      <w:tblPr/>
      <w:tcPr>
        <w:shd w:val="clear" w:color="FFFFFF" w:fill="F4B184"/>
      </w:tcPr>
    </w:tblStylePr>
    <w:tblStylePr w:type="band1Vert">
      <w:rPr>
        <w:rFonts w:ascii="Arial" w:hAnsi="Arial"/>
        <w:color w:val="404040"/>
        <w:sz w:val="22"/>
      </w:rPr>
    </w:tblStylePr>
    <w:tblStylePr w:type="band2Vert">
      <w:rPr>
        <w:rFonts w:ascii="Arial" w:hAnsi="Arial"/>
        <w:color w:val="404040"/>
        <w:sz w:val="22"/>
      </w:rPr>
      <w:tblPr/>
      <w:tcPr>
        <w:shd w:val="clear" w:color="FFFFFF" w:fill="FBE5D6"/>
      </w:tcPr>
    </w:tblStylePr>
    <w:tblStylePr w:type="band1Horz">
      <w:rPr>
        <w:rFonts w:ascii="Arial" w:hAnsi="Arial"/>
        <w:color w:val="404040"/>
        <w:sz w:val="22"/>
      </w:rPr>
    </w:tblStylePr>
    <w:tblStylePr w:type="band2Horz">
      <w:rPr>
        <w:rFonts w:ascii="Arial" w:hAnsi="Arial"/>
        <w:color w:val="404040"/>
        <w:sz w:val="22"/>
      </w:rPr>
      <w:tblPr/>
      <w:tcPr>
        <w:shd w:val="clear" w:color="FFFFFF" w:fill="FBE5D6"/>
      </w:tcPr>
    </w:tblStylePr>
  </w:style>
  <w:style w:type="table" w:customStyle="1" w:styleId="BorderedLined-Accent3">
    <w:name w:val="Bordered &amp; Lined - Accent 3"/>
    <w:basedOn w:val="a1"/>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FFFFFF" w:fill="A5A5A5"/>
      </w:tcPr>
    </w:tblStylePr>
    <w:tblStylePr w:type="lastRow">
      <w:rPr>
        <w:rFonts w:ascii="Arial" w:hAnsi="Arial"/>
        <w:color w:val="F2F2F2"/>
        <w:sz w:val="22"/>
      </w:rPr>
      <w:tblPr/>
      <w:tcPr>
        <w:shd w:val="clear" w:color="FFFFFF" w:fill="A5A5A5"/>
      </w:tcPr>
    </w:tblStylePr>
    <w:tblStylePr w:type="firstCol">
      <w:rPr>
        <w:rFonts w:ascii="Arial" w:hAnsi="Arial"/>
        <w:color w:val="F2F2F2"/>
        <w:sz w:val="22"/>
      </w:rPr>
      <w:tblPr/>
      <w:tcPr>
        <w:shd w:val="clear" w:color="FFFFFF" w:fill="A5A5A5"/>
      </w:tcPr>
    </w:tblStylePr>
    <w:tblStylePr w:type="lastCol">
      <w:rPr>
        <w:rFonts w:ascii="Arial" w:hAnsi="Arial"/>
        <w:color w:val="F2F2F2"/>
        <w:sz w:val="22"/>
      </w:rPr>
      <w:tblPr/>
      <w:tcPr>
        <w:shd w:val="clear" w:color="FFFFFF" w:fill="A5A5A5"/>
      </w:tcPr>
    </w:tblStylePr>
    <w:tblStylePr w:type="band1Vert">
      <w:rPr>
        <w:rFonts w:ascii="Arial" w:hAnsi="Arial"/>
        <w:color w:val="404040"/>
        <w:sz w:val="22"/>
      </w:rPr>
    </w:tblStylePr>
    <w:tblStylePr w:type="band2Vert">
      <w:rPr>
        <w:rFonts w:ascii="Arial" w:hAnsi="Arial"/>
        <w:color w:val="404040"/>
        <w:sz w:val="22"/>
      </w:rPr>
      <w:tblPr/>
      <w:tcPr>
        <w:shd w:val="clear" w:color="FFFFFF" w:fill="ECECEC"/>
      </w:tcPr>
    </w:tblStylePr>
    <w:tblStylePr w:type="band1Horz">
      <w:rPr>
        <w:rFonts w:ascii="Arial" w:hAnsi="Arial"/>
        <w:color w:val="404040"/>
        <w:sz w:val="22"/>
      </w:rPr>
    </w:tblStylePr>
    <w:tblStylePr w:type="band2Horz">
      <w:rPr>
        <w:rFonts w:ascii="Arial" w:hAnsi="Arial"/>
        <w:color w:val="404040"/>
        <w:sz w:val="22"/>
      </w:rPr>
      <w:tblPr/>
      <w:tcPr>
        <w:shd w:val="clear" w:color="FFFFFF" w:fill="ECECEC"/>
      </w:tcPr>
    </w:tblStylePr>
  </w:style>
  <w:style w:type="table" w:customStyle="1" w:styleId="BorderedLined-Accent4">
    <w:name w:val="Bordered &amp; Lined - Accent 4"/>
    <w:basedOn w:val="a1"/>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FFFF" w:fill="FFD865"/>
      </w:tcPr>
    </w:tblStylePr>
    <w:tblStylePr w:type="lastRow">
      <w:rPr>
        <w:rFonts w:ascii="Arial" w:hAnsi="Arial"/>
        <w:color w:val="F2F2F2"/>
        <w:sz w:val="22"/>
      </w:rPr>
      <w:tblPr/>
      <w:tcPr>
        <w:shd w:val="clear" w:color="FFFFFF" w:fill="FFD865"/>
      </w:tcPr>
    </w:tblStylePr>
    <w:tblStylePr w:type="firstCol">
      <w:rPr>
        <w:rFonts w:ascii="Arial" w:hAnsi="Arial"/>
        <w:color w:val="F2F2F2"/>
        <w:sz w:val="22"/>
      </w:rPr>
      <w:tblPr/>
      <w:tcPr>
        <w:shd w:val="clear" w:color="FFFFFF" w:fill="FFD865"/>
      </w:tcPr>
    </w:tblStylePr>
    <w:tblStylePr w:type="lastCol">
      <w:rPr>
        <w:rFonts w:ascii="Arial" w:hAnsi="Arial"/>
        <w:color w:val="F2F2F2"/>
        <w:sz w:val="22"/>
      </w:rPr>
      <w:tblPr/>
      <w:tcPr>
        <w:shd w:val="clear" w:color="FFFFFF" w:fill="FFD865"/>
      </w:tcPr>
    </w:tblStylePr>
    <w:tblStylePr w:type="band1Vert">
      <w:rPr>
        <w:rFonts w:ascii="Arial" w:hAnsi="Arial"/>
        <w:color w:val="404040"/>
        <w:sz w:val="22"/>
      </w:rPr>
    </w:tblStylePr>
    <w:tblStylePr w:type="band2Vert">
      <w:rPr>
        <w:rFonts w:ascii="Arial" w:hAnsi="Arial"/>
        <w:color w:val="404040"/>
        <w:sz w:val="22"/>
      </w:rPr>
      <w:tblPr/>
      <w:tcPr>
        <w:shd w:val="clear" w:color="FFFFFF" w:fill="FFF2CB"/>
      </w:tcPr>
    </w:tblStylePr>
    <w:tblStylePr w:type="band1Horz">
      <w:rPr>
        <w:rFonts w:ascii="Arial" w:hAnsi="Arial"/>
        <w:color w:val="404040"/>
        <w:sz w:val="22"/>
      </w:rPr>
    </w:tblStylePr>
    <w:tblStylePr w:type="band2Horz">
      <w:rPr>
        <w:rFonts w:ascii="Arial" w:hAnsi="Arial"/>
        <w:color w:val="404040"/>
        <w:sz w:val="22"/>
      </w:rPr>
      <w:tblPr/>
      <w:tcPr>
        <w:shd w:val="clear" w:color="FFFFFF" w:fill="FFF2CB"/>
      </w:tcPr>
    </w:tblStylePr>
  </w:style>
  <w:style w:type="table" w:customStyle="1" w:styleId="BorderedLined-Accent5">
    <w:name w:val="Bordered &amp; Lined - Accent 5"/>
    <w:basedOn w:val="a1"/>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FFFFFF" w:fill="4472C4"/>
      </w:tcPr>
    </w:tblStylePr>
    <w:tblStylePr w:type="lastRow">
      <w:rPr>
        <w:rFonts w:ascii="Arial" w:hAnsi="Arial"/>
        <w:color w:val="F2F2F2"/>
        <w:sz w:val="22"/>
      </w:rPr>
      <w:tblPr/>
      <w:tcPr>
        <w:shd w:val="clear" w:color="FFFFFF" w:fill="4472C4"/>
      </w:tcPr>
    </w:tblStylePr>
    <w:tblStylePr w:type="firstCol">
      <w:rPr>
        <w:rFonts w:ascii="Arial" w:hAnsi="Arial"/>
        <w:color w:val="F2F2F2"/>
        <w:sz w:val="22"/>
      </w:rPr>
      <w:tblPr/>
      <w:tcPr>
        <w:shd w:val="clear" w:color="FFFFFF" w:fill="4472C4"/>
      </w:tcPr>
    </w:tblStylePr>
    <w:tblStylePr w:type="lastCol">
      <w:rPr>
        <w:rFonts w:ascii="Arial" w:hAnsi="Arial"/>
        <w:color w:val="F2F2F2"/>
        <w:sz w:val="22"/>
      </w:rPr>
      <w:tblPr/>
      <w:tcPr>
        <w:shd w:val="clear" w:color="FFFFFF" w:fill="4472C4"/>
      </w:tcPr>
    </w:tblStylePr>
    <w:tblStylePr w:type="band1Vert">
      <w:rPr>
        <w:rFonts w:ascii="Arial" w:hAnsi="Arial"/>
        <w:color w:val="404040"/>
        <w:sz w:val="22"/>
      </w:rPr>
    </w:tblStylePr>
    <w:tblStylePr w:type="band2Vert">
      <w:rPr>
        <w:rFonts w:ascii="Arial" w:hAnsi="Arial"/>
        <w:color w:val="404040"/>
        <w:sz w:val="22"/>
      </w:rPr>
      <w:tblPr/>
      <w:tcPr>
        <w:shd w:val="clear" w:color="FFFFFF" w:fill="D8E2F3"/>
      </w:tcPr>
    </w:tblStylePr>
    <w:tblStylePr w:type="band1Horz">
      <w:rPr>
        <w:rFonts w:ascii="Arial" w:hAnsi="Arial"/>
        <w:color w:val="404040"/>
        <w:sz w:val="22"/>
      </w:rPr>
    </w:tblStylePr>
    <w:tblStylePr w:type="band2Horz">
      <w:rPr>
        <w:rFonts w:ascii="Arial" w:hAnsi="Arial"/>
        <w:color w:val="404040"/>
        <w:sz w:val="22"/>
      </w:rPr>
      <w:tblPr/>
      <w:tcPr>
        <w:shd w:val="clear" w:color="FFFFFF" w:fill="D8E2F3"/>
      </w:tcPr>
    </w:tblStylePr>
  </w:style>
  <w:style w:type="table" w:customStyle="1" w:styleId="BorderedLined-Accent6">
    <w:name w:val="Bordered &amp; Lined - Accent 6"/>
    <w:basedOn w:val="a1"/>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FFFFFF" w:fill="70AD47"/>
      </w:tcPr>
    </w:tblStylePr>
    <w:tblStylePr w:type="lastRow">
      <w:rPr>
        <w:rFonts w:ascii="Arial" w:hAnsi="Arial"/>
        <w:color w:val="F2F2F2"/>
        <w:sz w:val="22"/>
      </w:rPr>
      <w:tblPr/>
      <w:tcPr>
        <w:shd w:val="clear" w:color="FFFFFF" w:fill="70AD47"/>
      </w:tcPr>
    </w:tblStylePr>
    <w:tblStylePr w:type="firstCol">
      <w:rPr>
        <w:rFonts w:ascii="Arial" w:hAnsi="Arial"/>
        <w:color w:val="F2F2F2"/>
        <w:sz w:val="22"/>
      </w:rPr>
      <w:tblPr/>
      <w:tcPr>
        <w:shd w:val="clear" w:color="FFFFFF" w:fill="70AD47"/>
      </w:tcPr>
    </w:tblStylePr>
    <w:tblStylePr w:type="lastCol">
      <w:rPr>
        <w:rFonts w:ascii="Arial" w:hAnsi="Arial"/>
        <w:color w:val="F2F2F2"/>
        <w:sz w:val="22"/>
      </w:rPr>
      <w:tblPr/>
      <w:tcPr>
        <w:shd w:val="clear" w:color="FFFFFF" w:fill="70AD47"/>
      </w:tcPr>
    </w:tblStylePr>
    <w:tblStylePr w:type="band1Vert">
      <w:rPr>
        <w:rFonts w:ascii="Arial" w:hAnsi="Arial"/>
        <w:color w:val="404040"/>
        <w:sz w:val="22"/>
      </w:rPr>
    </w:tblStylePr>
    <w:tblStylePr w:type="band2Vert">
      <w:rPr>
        <w:rFonts w:ascii="Arial" w:hAnsi="Arial"/>
        <w:color w:val="404040"/>
        <w:sz w:val="22"/>
      </w:rPr>
      <w:tblPr/>
      <w:tcPr>
        <w:shd w:val="clear" w:color="FFFFFF" w:fill="E1EFD8"/>
      </w:tcPr>
    </w:tblStylePr>
    <w:tblStylePr w:type="band1Horz">
      <w:rPr>
        <w:rFonts w:ascii="Arial" w:hAnsi="Arial"/>
        <w:color w:val="404040"/>
        <w:sz w:val="22"/>
      </w:rPr>
    </w:tblStylePr>
    <w:tblStylePr w:type="band2Horz">
      <w:rPr>
        <w:rFonts w:ascii="Arial" w:hAnsi="Arial"/>
        <w:color w:val="404040"/>
        <w:sz w:val="22"/>
      </w:rPr>
      <w:tblPr/>
      <w:tcPr>
        <w:shd w:val="clear" w:color="FFFFFF" w:fill="E1EFD8"/>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pPr>
      <w:spacing w:after="200" w:line="276" w:lineRule="auto"/>
    </w:pPr>
    <w:rPr>
      <w:rFonts w:ascii="Calibri" w:hAnsi="Calibri Light" w:cs="Calibri"/>
      <w:sz w:val="22"/>
      <w:szCs w:val="22"/>
      <w:lang w:eastAsia="en-US"/>
    </w:rPr>
  </w:style>
  <w:style w:type="character" w:customStyle="1" w:styleId="Heading1Char">
    <w:name w:val="Heading 1 Char"/>
    <w:basedOn w:val="a0"/>
    <w:qFormat/>
    <w:rPr>
      <w:rFonts w:ascii="Arial" w:hAnsi="Arial" w:cs="Arial"/>
      <w:sz w:val="40"/>
      <w:szCs w:val="40"/>
    </w:rPr>
  </w:style>
  <w:style w:type="character" w:customStyle="1" w:styleId="Heading2Char">
    <w:name w:val="Heading 2 Char"/>
    <w:basedOn w:val="a0"/>
    <w:qFormat/>
    <w:rPr>
      <w:rFonts w:ascii="Arial" w:hAnsi="Arial" w:cs="Arial"/>
      <w:sz w:val="34"/>
    </w:rPr>
  </w:style>
  <w:style w:type="paragraph" w:styleId="afa">
    <w:name w:val="List Paragraph"/>
    <w:basedOn w:val="a"/>
    <w:qFormat/>
    <w:pPr>
      <w:ind w:left="720"/>
      <w:contextualSpacing/>
    </w:pPr>
  </w:style>
  <w:style w:type="paragraph" w:styleId="afb">
    <w:name w:val="No Spacing"/>
    <w:qFormat/>
    <w:pPr>
      <w:spacing w:after="200" w:line="276" w:lineRule="auto"/>
    </w:pPr>
    <w:rPr>
      <w:rFonts w:ascii="Calibri" w:hAnsi="Calibri" w:cs="Calibri"/>
      <w:sz w:val="22"/>
      <w:szCs w:val="22"/>
      <w:lang w:eastAsia="en-US"/>
    </w:rPr>
  </w:style>
  <w:style w:type="paragraph" w:styleId="afc">
    <w:name w:val="Quote"/>
    <w:basedOn w:val="a"/>
    <w:next w:val="a"/>
    <w:qFormat/>
    <w:pPr>
      <w:ind w:left="720" w:right="720"/>
    </w:pPr>
    <w:rPr>
      <w:i/>
    </w:rPr>
  </w:style>
  <w:style w:type="paragraph" w:styleId="afd">
    <w:name w:val="Intense Quote"/>
    <w:basedOn w:val="a"/>
    <w:next w:val="a"/>
    <w:qFormat/>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HeaderChar">
    <w:name w:val="Header Char"/>
    <w:basedOn w:val="a0"/>
    <w:qFormat/>
  </w:style>
  <w:style w:type="character" w:customStyle="1" w:styleId="FooterChar">
    <w:name w:val="Footer Char"/>
    <w:basedOn w:val="a0"/>
    <w:qFormat/>
  </w:style>
  <w:style w:type="character" w:customStyle="1" w:styleId="CaptionChar">
    <w:name w:val="Caption Char"/>
    <w:qFormat/>
  </w:style>
  <w:style w:type="paragraph" w:customStyle="1" w:styleId="TOC11">
    <w:name w:val="TOC 标题11"/>
    <w:qFormat/>
    <w:pPr>
      <w:spacing w:after="200" w:line="276" w:lineRule="auto"/>
    </w:pPr>
    <w:rPr>
      <w:rFonts w:ascii="Calibri" w:hAnsi="Calibri" w:cs="Calibri"/>
      <w:sz w:val="22"/>
      <w:szCs w:val="22"/>
      <w:lang w:eastAsia="en-US"/>
    </w:rPr>
  </w:style>
  <w:style w:type="paragraph" w:customStyle="1" w:styleId="afe">
    <w:name w:val="正文所"/>
    <w:basedOn w:val="a"/>
    <w:qFormat/>
    <w:pPr>
      <w:spacing w:line="360" w:lineRule="auto"/>
      <w:ind w:firstLine="420"/>
    </w:pPr>
  </w:style>
  <w:style w:type="paragraph" w:customStyle="1" w:styleId="2025025">
    <w:name w:val="样式 首行缩进:  2 字符 段前: 0.25 行 段后: 0.25 行"/>
    <w:basedOn w:val="a"/>
    <w:qFormat/>
    <w:pPr>
      <w:spacing w:before="25" w:after="25" w:line="300" w:lineRule="auto"/>
      <w:ind w:firstLine="420"/>
    </w:pPr>
    <w:rPr>
      <w:szCs w:val="21"/>
    </w:rPr>
  </w:style>
  <w:style w:type="paragraph" w:customStyle="1" w:styleId="Default">
    <w:name w:val="Default"/>
    <w:qFormat/>
    <w:pPr>
      <w:widowControl w:val="0"/>
      <w:spacing w:after="200" w:line="276" w:lineRule="auto"/>
    </w:pPr>
    <w:rPr>
      <w:rFonts w:ascii="宋体" w:hAnsi="Calibri Light" w:cs="宋体"/>
      <w:color w:val="000000"/>
      <w:sz w:val="24"/>
      <w:szCs w:val="24"/>
      <w:lang w:eastAsia="en-US"/>
    </w:rPr>
  </w:style>
  <w:style w:type="paragraph" w:customStyle="1" w:styleId="ParaChar">
    <w:name w:val="默认段落字体 Para Char"/>
    <w:basedOn w:val="a"/>
    <w:qFormat/>
  </w:style>
  <w:style w:type="paragraph" w:customStyle="1" w:styleId="Char">
    <w:name w:val="Char"/>
    <w:basedOn w:val="a"/>
    <w:qFormat/>
  </w:style>
  <w:style w:type="paragraph" w:customStyle="1" w:styleId="UCAlpha2">
    <w:name w:val="UCAlpha 2"/>
    <w:basedOn w:val="a"/>
    <w:qFormat/>
    <w:pPr>
      <w:widowControl/>
      <w:numPr>
        <w:numId w:val="1"/>
      </w:numPr>
      <w:spacing w:after="140" w:line="290" w:lineRule="auto"/>
    </w:pPr>
    <w:rPr>
      <w:rFonts w:ascii="Arial" w:hAnsi="Arial"/>
      <w:sz w:val="20"/>
      <w:lang w:val="en-GB"/>
    </w:rPr>
  </w:style>
  <w:style w:type="paragraph" w:customStyle="1" w:styleId="aff">
    <w:name w:val="合同正文"/>
    <w:basedOn w:val="a"/>
    <w:qFormat/>
    <w:pPr>
      <w:spacing w:line="360" w:lineRule="auto"/>
      <w:ind w:firstLine="200"/>
    </w:pPr>
    <w:rPr>
      <w:bCs/>
      <w:sz w:val="24"/>
      <w:szCs w:val="20"/>
    </w:rPr>
  </w:style>
  <w:style w:type="paragraph" w:customStyle="1" w:styleId="12">
    <w:name w:val="修订1"/>
    <w:qFormat/>
    <w:pPr>
      <w:spacing w:after="200" w:line="276" w:lineRule="auto"/>
    </w:pPr>
    <w:rPr>
      <w:rFonts w:ascii="Calibri" w:hAnsi="Calibri" w:cs="Calibri"/>
      <w:sz w:val="21"/>
      <w:szCs w:val="24"/>
      <w:lang w:eastAsia="en-US"/>
    </w:rPr>
  </w:style>
  <w:style w:type="paragraph" w:customStyle="1" w:styleId="23">
    <w:name w:val="修订2"/>
    <w:qFormat/>
    <w:pPr>
      <w:spacing w:after="200" w:line="276" w:lineRule="auto"/>
    </w:pPr>
    <w:rPr>
      <w:rFonts w:ascii="Calibri" w:hAnsi="Calibri" w:cs="Calibri"/>
      <w:sz w:val="21"/>
      <w:szCs w:val="24"/>
      <w:lang w:eastAsia="en-US"/>
    </w:rPr>
  </w:style>
  <w:style w:type="paragraph" w:customStyle="1" w:styleId="32">
    <w:name w:val="修订3"/>
    <w:qFormat/>
    <w:pPr>
      <w:spacing w:after="200" w:line="276" w:lineRule="auto"/>
    </w:pPr>
    <w:rPr>
      <w:rFonts w:ascii="Calibri" w:hAnsi="Calibri" w:cs="Calibri"/>
      <w:sz w:val="21"/>
      <w:szCs w:val="24"/>
      <w:lang w:eastAsia="en-US"/>
    </w:rPr>
  </w:style>
  <w:style w:type="paragraph" w:customStyle="1" w:styleId="42">
    <w:name w:val="修订4"/>
    <w:hidden/>
    <w:uiPriority w:val="99"/>
    <w:semiHidden/>
    <w:qFormat/>
    <w:pPr>
      <w:spacing w:after="200" w:line="276" w:lineRule="auto"/>
    </w:pPr>
    <w:rPr>
      <w:rFonts w:ascii="Calibri" w:hAnsi="Calibri" w:cs="Calibri"/>
      <w:sz w:val="21"/>
      <w:szCs w:val="24"/>
      <w:lang w:eastAsia="en-US"/>
    </w:rPr>
  </w:style>
  <w:style w:type="character" w:customStyle="1" w:styleId="a6">
    <w:name w:val="批注文字 字符"/>
    <w:basedOn w:val="a0"/>
    <w:link w:val="a5"/>
    <w:uiPriority w:val="99"/>
    <w:qFormat/>
    <w:rPr>
      <w:rFonts w:ascii="Calibri" w:hAnsi="Calibri" w:cs="Calibri"/>
      <w:sz w:val="21"/>
      <w:szCs w:val="24"/>
      <w:lang w:eastAsia="en-US"/>
    </w:rPr>
  </w:style>
  <w:style w:type="paragraph" w:customStyle="1" w:styleId="52">
    <w:name w:val="修订5"/>
    <w:hidden/>
    <w:uiPriority w:val="99"/>
    <w:semiHidden/>
    <w:qFormat/>
    <w:rPr>
      <w:rFonts w:ascii="Calibri" w:hAnsi="Calibri" w:cs="Calibri"/>
      <w:sz w:val="21"/>
      <w:szCs w:val="24"/>
      <w:lang w:eastAsia="en-US"/>
    </w:rPr>
  </w:style>
  <w:style w:type="paragraph" w:customStyle="1" w:styleId="62">
    <w:name w:val="修订6"/>
    <w:hidden/>
    <w:uiPriority w:val="99"/>
    <w:unhideWhenUsed/>
    <w:qFormat/>
    <w:rPr>
      <w:rFonts w:ascii="Calibri" w:hAnsi="Calibri" w:cs="Calibri"/>
      <w:sz w:val="21"/>
      <w:szCs w:val="24"/>
      <w:lang w:eastAsia="en-US"/>
    </w:rPr>
  </w:style>
  <w:style w:type="paragraph" w:customStyle="1" w:styleId="72">
    <w:name w:val="修订7"/>
    <w:hidden/>
    <w:uiPriority w:val="99"/>
    <w:semiHidden/>
    <w:qFormat/>
    <w:rPr>
      <w:rFonts w:ascii="Calibri" w:hAnsi="Calibri" w:cs="Calibri"/>
      <w:sz w:val="21"/>
      <w:szCs w:val="24"/>
      <w:lang w:eastAsia="en-US"/>
    </w:rPr>
  </w:style>
  <w:style w:type="paragraph" w:styleId="aff0">
    <w:name w:val="Revision"/>
    <w:hidden/>
    <w:uiPriority w:val="99"/>
    <w:unhideWhenUsed/>
    <w:rsid w:val="00A62FF7"/>
    <w:rPr>
      <w:rFonts w:ascii="Calibri" w:hAnsi="Calibri" w:cs="Calibri"/>
      <w:sz w:val="21"/>
      <w:szCs w:val="24"/>
      <w:lang w:eastAsia="en-US"/>
    </w:rPr>
  </w:style>
  <w:style w:type="character" w:customStyle="1" w:styleId="ae">
    <w:name w:val="页眉 字符"/>
    <w:basedOn w:val="a0"/>
    <w:link w:val="ad"/>
    <w:uiPriority w:val="99"/>
    <w:rsid w:val="007A256D"/>
    <w:rPr>
      <w:rFonts w:ascii="Calibri" w:hAnsi="Calibri" w:cs="Calibri"/>
      <w:sz w:val="18"/>
      <w:szCs w:val="18"/>
      <w:lang w:eastAsia="en-US"/>
    </w:rPr>
  </w:style>
  <w:style w:type="character" w:customStyle="1" w:styleId="ac">
    <w:name w:val="页脚 字符"/>
    <w:basedOn w:val="a0"/>
    <w:link w:val="ab"/>
    <w:uiPriority w:val="99"/>
    <w:rsid w:val="007A256D"/>
    <w:rPr>
      <w:rFonts w:ascii="Calibri" w:hAnsi="Calibri" w:cs="Calibr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microsoft.com/office/2016/09/relationships/commentsIds" Target="commentsIds.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revisionView w:insDel="0" w:formatting="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F5A"/>
    <w:rsid w:val="002C72FD"/>
    <w:rsid w:val="00DD7F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78301E71084661B01B4278C24C95BF">
    <w:name w:val="DE78301E71084661B01B4278C24C95BF"/>
    <w:rsid w:val="00DD7F5A"/>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47E606AB-35D0-4D26-95FE-8E537C866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53</Pages>
  <Words>4914</Words>
  <Characters>28014</Characters>
  <Application>Microsoft Office Word</Application>
  <DocSecurity>0</DocSecurity>
  <Lines>233</Lines>
  <Paragraphs>65</Paragraphs>
  <ScaleCrop>false</ScaleCrop>
  <Company>hsbcjt</Company>
  <LinksUpToDate>false</LinksUpToDate>
  <CharactersWithSpaces>32863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鑫元浩鑫增强债券型证券投资基金-托管协议</dc:title>
  <dc:creator>hsbcjt</dc:creator>
  <cp:lastModifiedBy>吴乐其</cp:lastModifiedBy>
  <cp:revision>4</cp:revision>
  <dcterms:created xsi:type="dcterms:W3CDTF">2026-07-09T09:30:00Z</dcterms:created>
  <dcterms:modified xsi:type="dcterms:W3CDTF">2026-08-10T02:36:00Z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2052-12.1.25869.25869</vt:lpwstr>
  </property>
  <property fmtid="{D5CDD505-2E9C-101B-9397-08002B2CF9AE}" pid="3" name="ICV">
    <vt:lpwstr>B90FF72F877484128D20FB69F8A874F1_43</vt:lpwstr>
  </property>
  <property fmtid="{D5CDD505-2E9C-101B-9397-08002B2CF9AE}" pid="4" name="_KSOProductBuildMID">
    <vt:lpwstr>SZWM06BA797Q0TTGQYRNRL0J7N8MOXGRES06TJD6XFMRTQLTN0BRQC0EFSUHP86RXOMXSOLIZIX78PNJRJFADFF789C0WHCB8FOOZHB3D7FB7F2A466781962D7603C0D33462BE</vt:lpwstr>
  </property>
  <property fmtid="{D5CDD505-2E9C-101B-9397-08002B2CF9AE}" pid="5" name="_KSOProductBuildSID">
    <vt:lpwstr>DQWFI6GP7RYQ06TGRZRNDLJM7ZQ0OAVR9F0XOJDUXFM8TEWTZ8BRVCJFFY9HPFIRXSMXSOZGZIAD8HXJQSFTVFF78RMMWHCB8XODQHB321B16798E524C61154C02A47C2F62332</vt:lpwstr>
  </property>
  <property fmtid="{D5CDD505-2E9C-101B-9397-08002B2CF9AE}" pid="6" name="KSOTemplateDocerSaveRecord">
    <vt:lpwstr>eyJoZGlkIjoiZDM5NmYwNWMwYmMxYzVjMmFkNDg3OGFiZGE5OTVmZjQiLCJ1c2VySWQiOiI4MDk3MTIxMzAifQ==</vt:lpwstr>
  </property>
</Properties>
</file>